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87E027">
      <w:pPr>
        <w:jc w:val="center"/>
        <w:rPr>
          <w:rFonts w:hint="eastAsia" w:ascii="Times New Roman" w:hAnsi="Times New Roman" w:eastAsia="宋体"/>
          <w:b/>
          <w:bCs/>
          <w:sz w:val="15"/>
          <w:szCs w:val="15"/>
          <w:lang w:eastAsia="zh-CN"/>
        </w:rPr>
      </w:pPr>
    </w:p>
    <w:p w14:paraId="2C7B0BDA">
      <w:pPr>
        <w:jc w:val="center"/>
        <w:rPr>
          <w:rFonts w:hint="eastAsia" w:ascii="Times New Roman" w:hAnsi="Times New Roman" w:eastAsia="宋体"/>
          <w:b/>
          <w:bCs/>
          <w:sz w:val="15"/>
          <w:szCs w:val="15"/>
          <w:lang w:eastAsia="zh-CN"/>
        </w:rPr>
      </w:pPr>
    </w:p>
    <w:p w14:paraId="64FAFB28">
      <w:pPr>
        <w:jc w:val="center"/>
        <w:rPr>
          <w:rFonts w:hint="eastAsia" w:ascii="Times New Roman" w:hAnsi="Times New Roman" w:eastAsia="宋体"/>
          <w:b/>
          <w:bCs/>
          <w:sz w:val="32"/>
          <w:szCs w:val="32"/>
          <w:lang w:eastAsia="zh-CN"/>
        </w:rPr>
      </w:pPr>
      <w:r>
        <w:rPr>
          <w:rFonts w:hint="eastAsia" w:ascii="Times New Roman" w:hAnsi="Times New Roman" w:eastAsia="宋体"/>
          <w:b/>
          <w:bCs/>
          <w:sz w:val="32"/>
          <w:szCs w:val="32"/>
          <w:lang w:eastAsia="zh-CN"/>
        </w:rPr>
        <w:drawing>
          <wp:inline distT="0" distB="0" distL="114300" distR="114300">
            <wp:extent cx="3429000" cy="703580"/>
            <wp:effectExtent l="0" t="0" r="0" b="0"/>
            <wp:docPr id="14" name="图片 14" descr="十四五国规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十四五国规标"/>
                    <pic:cNvPicPr>
                      <a:picLocks noChangeAspect="1"/>
                    </pic:cNvPicPr>
                  </pic:nvPicPr>
                  <pic:blipFill>
                    <a:blip r:embed="rId10"/>
                    <a:srcRect l="25233" t="46404" r="27815" b="46785"/>
                    <a:stretch>
                      <a:fillRect/>
                    </a:stretch>
                  </pic:blipFill>
                  <pic:spPr>
                    <a:xfrm>
                      <a:off x="0" y="0"/>
                      <a:ext cx="3429000" cy="703580"/>
                    </a:xfrm>
                    <a:prstGeom prst="rect">
                      <a:avLst/>
                    </a:prstGeom>
                  </pic:spPr>
                </pic:pic>
              </a:graphicData>
            </a:graphic>
          </wp:inline>
        </w:drawing>
      </w:r>
    </w:p>
    <w:p w14:paraId="77FC536B">
      <w:pPr>
        <w:jc w:val="center"/>
        <w:rPr>
          <w:rFonts w:hint="eastAsia" w:ascii="Times New Roman" w:hAnsi="Times New Roman" w:eastAsia="宋体"/>
          <w:b/>
          <w:bCs/>
          <w:sz w:val="32"/>
          <w:szCs w:val="32"/>
          <w:lang w:eastAsia="zh-CN"/>
        </w:rPr>
      </w:pPr>
      <w:r>
        <w:rPr>
          <w:rFonts w:hint="eastAsia" w:ascii="微软雅黑" w:hAnsi="微软雅黑" w:eastAsia="微软雅黑" w:cs="微软雅黑"/>
          <w:b/>
          <w:bCs/>
          <w:i w:val="0"/>
          <w:iCs w:val="0"/>
          <w:caps w:val="0"/>
          <w:color w:val="385724" w:themeColor="accent6" w:themeShade="80"/>
          <w:spacing w:val="0"/>
          <w:sz w:val="28"/>
          <w:szCs w:val="28"/>
          <w:shd w:val="clear" w:fill="FFFFFF"/>
          <w:lang w:val="en-US" w:eastAsia="zh-CN"/>
        </w:rPr>
        <w:t xml:space="preserve">       </w:t>
      </w:r>
    </w:p>
    <w:p w14:paraId="0976E3A6">
      <w:pPr>
        <w:rPr>
          <w:rFonts w:hint="eastAsia" w:ascii="Times New Roman" w:hAnsi="Times New Roman"/>
          <w:b/>
          <w:bCs/>
          <w:sz w:val="32"/>
          <w:szCs w:val="32"/>
        </w:rPr>
      </w:pPr>
    </w:p>
    <w:p w14:paraId="7882DB9B">
      <w:pPr>
        <w:rPr>
          <w:rFonts w:hint="eastAsia" w:ascii="Times New Roman" w:hAnsi="Times New Roman"/>
          <w:b/>
          <w:bCs/>
          <w:sz w:val="32"/>
          <w:szCs w:val="32"/>
        </w:rPr>
      </w:pPr>
    </w:p>
    <w:p w14:paraId="63C493F5">
      <w:pPr>
        <w:rPr>
          <w:rFonts w:hint="eastAsia" w:ascii="Times New Roman" w:hAnsi="Times New Roman"/>
          <w:b/>
          <w:bCs/>
          <w:sz w:val="32"/>
          <w:szCs w:val="32"/>
        </w:rPr>
      </w:pPr>
    </w:p>
    <w:p w14:paraId="1F27D83F">
      <w:pPr>
        <w:rPr>
          <w:rFonts w:hint="eastAsia" w:ascii="Times New Roman" w:hAnsi="Times New Roman"/>
          <w:b/>
          <w:bCs/>
          <w:sz w:val="32"/>
          <w:szCs w:val="32"/>
        </w:rPr>
      </w:pPr>
    </w:p>
    <w:p w14:paraId="4C1E8025">
      <w:pPr>
        <w:rPr>
          <w:rFonts w:hint="eastAsia" w:ascii="Times New Roman" w:hAnsi="Times New Roman"/>
          <w:b/>
          <w:bCs/>
          <w:sz w:val="32"/>
          <w:szCs w:val="32"/>
        </w:rPr>
      </w:pPr>
    </w:p>
    <w:p w14:paraId="5C7D8771">
      <w:pPr>
        <w:jc w:val="center"/>
        <w:rPr>
          <w:rFonts w:hint="eastAsia" w:ascii="Times New Roman" w:hAnsi="Times New Roman"/>
          <w:b/>
          <w:bCs/>
          <w:sz w:val="32"/>
          <w:szCs w:val="32"/>
        </w:rPr>
      </w:pPr>
      <w:r>
        <w:rPr>
          <w:rFonts w:hint="eastAsia" w:ascii="Times New Roman" w:hAnsi="Times New Roman"/>
          <w:b/>
          <w:bCs/>
          <w:sz w:val="84"/>
          <w:szCs w:val="84"/>
        </w:rPr>
        <w:t>《学前儿童发展心理学》</w:t>
      </w:r>
    </w:p>
    <w:p w14:paraId="4ACB9433">
      <w:pPr>
        <w:jc w:val="center"/>
        <w:rPr>
          <w:rFonts w:hint="eastAsia" w:ascii="Times New Roman" w:hAnsi="Times New Roman"/>
          <w:b/>
          <w:bCs/>
          <w:sz w:val="84"/>
          <w:szCs w:val="84"/>
        </w:rPr>
      </w:pPr>
      <w:r>
        <w:rPr>
          <w:rFonts w:hint="eastAsia" w:ascii="Times New Roman" w:hAnsi="Times New Roman"/>
          <w:b/>
          <w:bCs/>
          <w:sz w:val="52"/>
          <w:szCs w:val="52"/>
        </w:rPr>
        <w:t>（第二版）</w:t>
      </w:r>
    </w:p>
    <w:p w14:paraId="0024D093">
      <w:pPr>
        <w:jc w:val="center"/>
        <w:rPr>
          <w:rFonts w:hint="eastAsia" w:ascii="Times New Roman" w:hAnsi="Times New Roman"/>
          <w:b/>
          <w:bCs/>
          <w:sz w:val="72"/>
          <w:szCs w:val="72"/>
        </w:rPr>
      </w:pPr>
    </w:p>
    <w:p w14:paraId="1E5E2D35">
      <w:pPr>
        <w:jc w:val="center"/>
        <w:rPr>
          <w:rFonts w:hint="eastAsia" w:ascii="Times New Roman" w:hAnsi="Times New Roman"/>
          <w:b/>
          <w:bCs/>
          <w:sz w:val="72"/>
          <w:szCs w:val="72"/>
        </w:rPr>
      </w:pPr>
      <w:r>
        <w:rPr>
          <w:rFonts w:hint="eastAsia" w:ascii="Times New Roman" w:hAnsi="Times New Roman"/>
          <w:b/>
          <w:bCs/>
          <w:sz w:val="72"/>
          <w:szCs w:val="72"/>
        </w:rPr>
        <w:t>教案</w:t>
      </w:r>
    </w:p>
    <w:p w14:paraId="032B382C">
      <w:pPr>
        <w:jc w:val="center"/>
        <w:rPr>
          <w:rFonts w:hint="eastAsia" w:ascii="Times New Roman" w:hAnsi="Times New Roman"/>
          <w:b/>
          <w:bCs/>
          <w:sz w:val="28"/>
          <w:szCs w:val="28"/>
        </w:rPr>
      </w:pPr>
    </w:p>
    <w:p w14:paraId="6B6BC5C0">
      <w:pPr>
        <w:jc w:val="both"/>
        <w:rPr>
          <w:rFonts w:hint="eastAsia" w:ascii="Times New Roman" w:hAnsi="Times New Roman"/>
          <w:b/>
          <w:bCs/>
          <w:sz w:val="28"/>
          <w:szCs w:val="28"/>
        </w:rPr>
      </w:pPr>
    </w:p>
    <w:p w14:paraId="104E55A0">
      <w:pPr>
        <w:jc w:val="both"/>
        <w:rPr>
          <w:rFonts w:hint="eastAsia" w:ascii="Times New Roman" w:hAnsi="Times New Roman"/>
          <w:b/>
          <w:bCs/>
          <w:sz w:val="28"/>
          <w:szCs w:val="28"/>
        </w:rPr>
      </w:pPr>
    </w:p>
    <w:p w14:paraId="075A8FF0">
      <w:pPr>
        <w:jc w:val="center"/>
        <w:rPr>
          <w:rFonts w:hint="eastAsia" w:ascii="Times New Roman" w:hAnsi="Times New Roman"/>
          <w:b/>
          <w:bCs/>
          <w:sz w:val="28"/>
          <w:szCs w:val="28"/>
        </w:rPr>
      </w:pPr>
    </w:p>
    <w:p w14:paraId="10A16A94">
      <w:pPr>
        <w:jc w:val="center"/>
        <w:rPr>
          <w:rFonts w:hint="eastAsia" w:ascii="Times New Roman" w:hAnsi="Times New Roman"/>
          <w:b/>
          <w:bCs/>
          <w:sz w:val="28"/>
          <w:szCs w:val="28"/>
        </w:rPr>
      </w:pPr>
    </w:p>
    <w:p w14:paraId="375DB611">
      <w:pPr>
        <w:jc w:val="center"/>
        <w:rPr>
          <w:rFonts w:hint="eastAsia" w:ascii="Times New Roman" w:hAnsi="Times New Roman"/>
          <w:b/>
          <w:bCs/>
          <w:sz w:val="28"/>
          <w:szCs w:val="28"/>
        </w:rPr>
      </w:pPr>
    </w:p>
    <w:p w14:paraId="2A619DC7">
      <w:pPr>
        <w:jc w:val="both"/>
        <w:rPr>
          <w:rFonts w:hint="eastAsia" w:ascii="Times New Roman" w:hAnsi="Times New Roman"/>
          <w:b/>
          <w:bCs/>
          <w:sz w:val="28"/>
          <w:szCs w:val="28"/>
        </w:rPr>
      </w:pPr>
    </w:p>
    <w:p w14:paraId="1DC9E0E0">
      <w:pPr>
        <w:jc w:val="both"/>
        <w:rPr>
          <w:rFonts w:hint="eastAsia" w:ascii="Times New Roman" w:hAnsi="Times New Roman"/>
          <w:b/>
          <w:bCs/>
          <w:sz w:val="28"/>
          <w:szCs w:val="28"/>
        </w:rPr>
      </w:pPr>
    </w:p>
    <w:p w14:paraId="3FDE9012">
      <w:pPr>
        <w:jc w:val="center"/>
        <w:rPr>
          <w:rFonts w:hint="eastAsia" w:ascii="Times New Roman" w:hAnsi="Times New Roman"/>
          <w:b/>
          <w:bCs/>
          <w:sz w:val="28"/>
          <w:szCs w:val="28"/>
        </w:rPr>
      </w:pPr>
      <w:r>
        <w:rPr>
          <w:sz w:val="28"/>
        </w:rPr>
        <mc:AlternateContent>
          <mc:Choice Requires="wps">
            <w:drawing>
              <wp:anchor distT="0" distB="0" distL="114300" distR="114300" simplePos="0" relativeHeight="251659264" behindDoc="1" locked="0" layoutInCell="1" allowOverlap="1">
                <wp:simplePos x="0" y="0"/>
                <wp:positionH relativeFrom="column">
                  <wp:posOffset>-95885</wp:posOffset>
                </wp:positionH>
                <wp:positionV relativeFrom="paragraph">
                  <wp:posOffset>294005</wp:posOffset>
                </wp:positionV>
                <wp:extent cx="7545070" cy="539750"/>
                <wp:effectExtent l="0" t="0" r="17780" b="12700"/>
                <wp:wrapNone/>
                <wp:docPr id="7" name="矩形 7"/>
                <wp:cNvGraphicFramePr/>
                <a:graphic xmlns:a="http://schemas.openxmlformats.org/drawingml/2006/main">
                  <a:graphicData uri="http://schemas.microsoft.com/office/word/2010/wordprocessingShape">
                    <wps:wsp>
                      <wps:cNvSpPr/>
                      <wps:spPr>
                        <a:xfrm>
                          <a:off x="3915410" y="9996170"/>
                          <a:ext cx="7545070" cy="539750"/>
                        </a:xfrm>
                        <a:prstGeom prst="rect">
                          <a:avLst/>
                        </a:prstGeom>
                        <a:gradFill>
                          <a:gsLst>
                            <a:gs pos="0">
                              <a:schemeClr val="accent1">
                                <a:lumMod val="0"/>
                                <a:lumOff val="100000"/>
                                <a:alpha val="100000"/>
                              </a:schemeClr>
                            </a:gs>
                            <a:gs pos="47000">
                              <a:schemeClr val="bg1">
                                <a:alpha val="0"/>
                              </a:schemeClr>
                            </a:gs>
                          </a:gsLst>
                          <a:path path="circle">
                            <a:fillToRect l="50000" t="50000" r="50000" b="50000"/>
                          </a:path>
                          <a:tileRect/>
                        </a:gradFill>
                        <a:ln>
                          <a:noFill/>
                        </a:ln>
                      </wps:spPr>
                      <wps:style>
                        <a:lnRef idx="2">
                          <a:schemeClr val="accent1">
                            <a:lumMod val="75000"/>
                          </a:schemeClr>
                        </a:lnRef>
                        <a:fillRef idx="1">
                          <a:schemeClr val="accent1"/>
                        </a:fillRef>
                        <a:effectRef idx="0">
                          <a:srgbClr val="FFFFFF"/>
                        </a:effectRef>
                        <a:fontRef idx="minor">
                          <a:schemeClr val="lt1"/>
                        </a:fontRef>
                      </wps:style>
                      <wps:txbx>
                        <w:txbxContent>
                          <w:p w14:paraId="1FD1A29E">
                            <w:pPr>
                              <w:rPr>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55pt;margin-top:23.15pt;height:42.5pt;width:594.1pt;z-index:-251657216;v-text-anchor:middle;mso-width-relative:page;mso-height-relative:page;" fillcolor="#FFFFFF [20]" filled="t" stroked="f" coordsize="21600,21600" o:gfxdata="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">
                <v:fill type="gradientRadial" on="t" color2="#FFFFFF [3212]" o:opacity2="0f" focus="100%" focussize="0f,0f" focusposition="32768f,32768f" rotate="t">
                  <o:fill type="gradientRadial" v:ext="backwardCompatible"/>
                </v:fill>
                <v:stroke on="f" weight="1pt" miterlimit="8" joinstyle="miter"/>
                <v:imagedata o:title=""/>
                <o:lock v:ext="edit" aspectratio="f"/>
                <v:textbox>
                  <w:txbxContent>
                    <w:p w14:paraId="1FD1A29E">
                      <w:pPr>
                        <w:rPr>
                          <w14:textFill>
                            <w14:noFill/>
                          </w14:textFill>
                        </w:rPr>
                      </w:pPr>
                    </w:p>
                  </w:txbxContent>
                </v:textbox>
              </v:rect>
            </w:pict>
          </mc:Fallback>
        </mc:AlternateContent>
      </w:r>
    </w:p>
    <w:p w14:paraId="48A38E4A">
      <w:pPr>
        <w:jc w:val="center"/>
        <w:rPr>
          <w:rFonts w:hint="default" w:ascii="Times New Roman" w:hAnsi="Times New Roman" w:eastAsia="宋体"/>
          <w:b/>
          <w:bCs/>
          <w:sz w:val="36"/>
          <w:szCs w:val="36"/>
          <w:lang w:val="en-US" w:eastAsia="zh-CN"/>
        </w:rPr>
      </w:pPr>
      <w:r>
        <w:rPr>
          <w:rFonts w:hint="eastAsia" w:ascii="华文行楷" w:hAnsi="华文行楷" w:eastAsia="华文行楷" w:cs="华文行楷"/>
          <w:b w:val="0"/>
          <w:bCs w:val="0"/>
          <w:color w:val="auto"/>
          <w:sz w:val="36"/>
          <w:szCs w:val="36"/>
          <w:shd w:val="clear" w:fill="FFFFFF" w:themeFill="background1"/>
          <w:lang w:val="en-US" w:eastAsia="zh-CN"/>
        </w:rPr>
        <w:t>北京出版社</w:t>
      </w:r>
    </w:p>
    <w:p w14:paraId="53E3D12D">
      <w:pPr>
        <w:jc w:val="center"/>
        <w:rPr>
          <w:rFonts w:hint="default" w:ascii="Times New Roman" w:hAnsi="Times New Roman" w:eastAsia="宋体"/>
          <w:b/>
          <w:bCs/>
          <w:sz w:val="28"/>
          <w:szCs w:val="28"/>
          <w:lang w:val="en-US" w:eastAsia="zh-CN"/>
        </w:rPr>
        <w:sectPr>
          <w:headerReference r:id="rId4" w:type="first"/>
          <w:headerReference r:id="rId3" w:type="default"/>
          <w:pgSz w:w="11906" w:h="16838"/>
          <w:pgMar w:top="283" w:right="170" w:bottom="283" w:left="170" w:header="0" w:footer="0" w:gutter="0"/>
          <w:pgBorders>
            <w:top w:val="none" w:sz="0" w:space="0"/>
            <w:left w:val="none" w:sz="0" w:space="0"/>
            <w:bottom w:val="none" w:sz="0" w:space="0"/>
            <w:right w:val="none" w:sz="0" w:space="0"/>
          </w:pgBorders>
          <w:cols w:space="425" w:num="1"/>
          <w:titlePg/>
          <w:docGrid w:type="lines" w:linePitch="312" w:charSpace="0"/>
        </w:sectPr>
      </w:pPr>
    </w:p>
    <w:p w14:paraId="0D3B61B4">
      <w:pPr>
        <w:pStyle w:val="2"/>
        <w:bidi w:val="0"/>
        <w:jc w:val="center"/>
        <w:rPr>
          <w:rFonts w:hint="eastAsia" w:ascii="黑体" w:hAnsi="黑体" w:eastAsia="黑体" w:cs="黑体"/>
          <w:b/>
          <w:bCs/>
          <w:color w:val="000000" w:themeColor="text1"/>
          <w:sz w:val="44"/>
          <w:szCs w:val="44"/>
          <w:lang w:eastAsia="zh-CN"/>
          <w14:textFill>
            <w14:solidFill>
              <w14:schemeClr w14:val="tx1"/>
            </w14:solidFill>
          </w14:textFill>
        </w:rPr>
      </w:pPr>
      <w:r>
        <w:rPr>
          <w:rFonts w:hint="eastAsia" w:ascii="黑体" w:hAnsi="黑体" w:eastAsia="黑体" w:cs="黑体"/>
          <w:b/>
          <w:bCs/>
          <w:color w:val="000000" w:themeColor="text1"/>
          <w:sz w:val="44"/>
          <w:szCs w:val="44"/>
          <w:lang w:eastAsia="zh-CN"/>
          <w14:textFill>
            <w14:solidFill>
              <w14:schemeClr w14:val="tx1"/>
            </w14:solidFill>
          </w14:textFill>
        </w:rPr>
        <w:t>课时分配表</w:t>
      </w:r>
    </w:p>
    <w:tbl>
      <w:tblPr>
        <w:tblStyle w:val="10"/>
        <w:tblW w:w="10772" w:type="dxa"/>
        <w:jc w:val="center"/>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Layout w:type="autofit"/>
        <w:tblCellMar>
          <w:top w:w="0" w:type="dxa"/>
          <w:left w:w="108" w:type="dxa"/>
          <w:bottom w:w="0" w:type="dxa"/>
          <w:right w:w="108" w:type="dxa"/>
        </w:tblCellMar>
      </w:tblPr>
      <w:tblGrid>
        <w:gridCol w:w="1242"/>
        <w:gridCol w:w="5562"/>
        <w:gridCol w:w="1832"/>
        <w:gridCol w:w="2136"/>
      </w:tblGrid>
      <w:tr w14:paraId="3F1782DA">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BE8F00" w:themeFill="accent4" w:themeFillShade="BF"/>
            <w:vAlign w:val="center"/>
          </w:tcPr>
          <w:p w14:paraId="6D53526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l2br w:val="nil"/>
              <w:tr2bl w:val="nil"/>
            </w:tcBorders>
            <w:shd w:val="clear" w:color="auto" w:fill="BE8F00" w:themeFill="accent4" w:themeFillShade="BF"/>
            <w:vAlign w:val="center"/>
          </w:tcPr>
          <w:p w14:paraId="6FCE9C6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l2br w:val="nil"/>
              <w:tr2bl w:val="nil"/>
            </w:tcBorders>
            <w:shd w:val="clear" w:color="auto" w:fill="BE8F00" w:themeFill="accent4" w:themeFillShade="BF"/>
            <w:vAlign w:val="center"/>
          </w:tcPr>
          <w:p w14:paraId="67A2D68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l2br w:val="nil"/>
              <w:tr2bl w:val="nil"/>
            </w:tcBorders>
            <w:shd w:val="clear" w:color="auto" w:fill="BE8F00" w:themeFill="accent4" w:themeFillShade="BF"/>
            <w:vAlign w:val="center"/>
          </w:tcPr>
          <w:p w14:paraId="20438C9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14:paraId="22FCF14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4803437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l2br w:val="nil"/>
              <w:tr2bl w:val="nil"/>
            </w:tcBorders>
            <w:shd w:val="clear" w:color="auto" w:fill="FFFFFF"/>
            <w:vAlign w:val="center"/>
          </w:tcPr>
          <w:p w14:paraId="5C7B62E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cs="宋体"/>
                <w:b/>
                <w:bCs/>
                <w:color w:val="000000" w:themeColor="text1"/>
                <w:sz w:val="24"/>
                <w:szCs w:val="24"/>
                <w:vertAlign w:val="baseline"/>
                <w:lang w:eastAsia="zh-CN"/>
                <w14:textFill>
                  <w14:solidFill>
                    <w14:schemeClr w14:val="tx1"/>
                  </w14:solidFill>
                </w14:textFill>
              </w:rPr>
              <w:t>学前儿童发展心理学概论</w:t>
            </w:r>
          </w:p>
        </w:tc>
        <w:tc>
          <w:tcPr>
            <w:tcW w:w="1372" w:type="dxa"/>
            <w:tcBorders>
              <w:tl2br w:val="nil"/>
              <w:tr2bl w:val="nil"/>
            </w:tcBorders>
            <w:shd w:val="clear" w:color="auto" w:fill="FFFFFF"/>
            <w:vAlign w:val="center"/>
          </w:tcPr>
          <w:p w14:paraId="45E2D20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3327A5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1590FC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0D3CD8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l2br w:val="nil"/>
              <w:tr2bl w:val="nil"/>
            </w:tcBorders>
            <w:shd w:val="clear" w:color="auto" w:fill="FFFFFF"/>
            <w:vAlign w:val="center"/>
          </w:tcPr>
          <w:p w14:paraId="24036AB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学前儿童心理发展理论</w:t>
            </w:r>
          </w:p>
        </w:tc>
        <w:tc>
          <w:tcPr>
            <w:tcW w:w="1372" w:type="dxa"/>
            <w:tcBorders>
              <w:tl2br w:val="nil"/>
              <w:tr2bl w:val="nil"/>
            </w:tcBorders>
            <w:shd w:val="clear" w:color="auto" w:fill="FFFFFF"/>
            <w:vAlign w:val="center"/>
          </w:tcPr>
          <w:p w14:paraId="56F1DF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l2br w:val="nil"/>
              <w:tr2bl w:val="nil"/>
            </w:tcBorders>
            <w:shd w:val="clear" w:color="auto" w:fill="FFFFFF"/>
            <w:vAlign w:val="center"/>
          </w:tcPr>
          <w:p w14:paraId="0C62E8F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22FC66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19341DA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l2br w:val="nil"/>
              <w:tr2bl w:val="nil"/>
            </w:tcBorders>
            <w:shd w:val="clear" w:color="auto" w:fill="FFFFFF"/>
            <w:vAlign w:val="center"/>
          </w:tcPr>
          <w:p w14:paraId="3C17DE5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学前儿童生理和运动能力的发展</w:t>
            </w:r>
          </w:p>
        </w:tc>
        <w:tc>
          <w:tcPr>
            <w:tcW w:w="1372" w:type="dxa"/>
            <w:tcBorders>
              <w:tl2br w:val="nil"/>
              <w:tr2bl w:val="nil"/>
            </w:tcBorders>
            <w:shd w:val="clear" w:color="auto" w:fill="FFFFFF"/>
            <w:vAlign w:val="center"/>
          </w:tcPr>
          <w:p w14:paraId="715CA2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2A12C0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36645614">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381EAA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l2br w:val="nil"/>
              <w:tr2bl w:val="nil"/>
            </w:tcBorders>
            <w:shd w:val="clear" w:color="auto" w:fill="FFFFFF"/>
            <w:vAlign w:val="center"/>
          </w:tcPr>
          <w:p w14:paraId="6268113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学前儿童感知觉的发展</w:t>
            </w:r>
          </w:p>
        </w:tc>
        <w:tc>
          <w:tcPr>
            <w:tcW w:w="1372" w:type="dxa"/>
            <w:tcBorders>
              <w:tl2br w:val="nil"/>
              <w:tr2bl w:val="nil"/>
            </w:tcBorders>
            <w:shd w:val="clear" w:color="auto" w:fill="FFFFFF"/>
            <w:vAlign w:val="center"/>
          </w:tcPr>
          <w:p w14:paraId="6D40557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3067CE2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175D92D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C7C93E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l2br w:val="nil"/>
              <w:tr2bl w:val="nil"/>
            </w:tcBorders>
            <w:shd w:val="clear" w:color="auto" w:fill="FFFFFF"/>
            <w:vAlign w:val="center"/>
          </w:tcPr>
          <w:p w14:paraId="203C604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学前儿童注意的发展与培养</w:t>
            </w:r>
          </w:p>
        </w:tc>
        <w:tc>
          <w:tcPr>
            <w:tcW w:w="1372" w:type="dxa"/>
            <w:tcBorders>
              <w:tl2br w:val="nil"/>
              <w:tr2bl w:val="nil"/>
            </w:tcBorders>
            <w:shd w:val="clear" w:color="auto" w:fill="FFFFFF"/>
            <w:vAlign w:val="center"/>
          </w:tcPr>
          <w:p w14:paraId="1E15929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21B4C35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5D14661">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9B1143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l2br w:val="nil"/>
              <w:tr2bl w:val="nil"/>
            </w:tcBorders>
            <w:shd w:val="clear" w:color="auto" w:fill="FFFFFF"/>
            <w:vAlign w:val="center"/>
          </w:tcPr>
          <w:p w14:paraId="7A9DCDB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学前儿童记忆的发展与促进策略</w:t>
            </w:r>
          </w:p>
        </w:tc>
        <w:tc>
          <w:tcPr>
            <w:tcW w:w="1372" w:type="dxa"/>
            <w:tcBorders>
              <w:tl2br w:val="nil"/>
              <w:tr2bl w:val="nil"/>
            </w:tcBorders>
            <w:shd w:val="clear" w:color="auto" w:fill="FFFFFF"/>
            <w:vAlign w:val="center"/>
          </w:tcPr>
          <w:p w14:paraId="546D8041">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39A0E93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D0EE5C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7A6FB62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l2br w:val="nil"/>
              <w:tr2bl w:val="nil"/>
            </w:tcBorders>
            <w:shd w:val="clear" w:color="auto" w:fill="FFFFFF"/>
            <w:vAlign w:val="center"/>
          </w:tcPr>
          <w:p w14:paraId="3CDA490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学前儿童想象的发展与培养</w:t>
            </w:r>
          </w:p>
        </w:tc>
        <w:tc>
          <w:tcPr>
            <w:tcW w:w="1372" w:type="dxa"/>
            <w:tcBorders>
              <w:tl2br w:val="nil"/>
              <w:tr2bl w:val="nil"/>
            </w:tcBorders>
            <w:shd w:val="clear" w:color="auto" w:fill="FFFFFF"/>
            <w:vAlign w:val="center"/>
          </w:tcPr>
          <w:p w14:paraId="7F1A8C69">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47DD3DB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77026165">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6B9BD6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l2br w:val="nil"/>
              <w:tr2bl w:val="nil"/>
            </w:tcBorders>
            <w:shd w:val="clear" w:color="auto" w:fill="FFFFFF"/>
            <w:vAlign w:val="center"/>
          </w:tcPr>
          <w:p w14:paraId="7D220D3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学前儿童思维的发展与培养</w:t>
            </w:r>
          </w:p>
        </w:tc>
        <w:tc>
          <w:tcPr>
            <w:tcW w:w="1372" w:type="dxa"/>
            <w:tcBorders>
              <w:tl2br w:val="nil"/>
              <w:tr2bl w:val="nil"/>
            </w:tcBorders>
            <w:shd w:val="clear" w:color="auto" w:fill="FFFFFF"/>
            <w:vAlign w:val="center"/>
          </w:tcPr>
          <w:p w14:paraId="18BD6A92">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677D519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46ACB12E">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CE4C1A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l2br w:val="nil"/>
              <w:tr2bl w:val="nil"/>
            </w:tcBorders>
            <w:shd w:val="clear" w:color="auto" w:fill="FFFFFF"/>
            <w:vAlign w:val="center"/>
          </w:tcPr>
          <w:p w14:paraId="1F06DAA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学前儿童言语的发展与培养</w:t>
            </w:r>
          </w:p>
        </w:tc>
        <w:tc>
          <w:tcPr>
            <w:tcW w:w="1372" w:type="dxa"/>
            <w:tcBorders>
              <w:tl2br w:val="nil"/>
              <w:tr2bl w:val="nil"/>
            </w:tcBorders>
            <w:shd w:val="clear" w:color="auto" w:fill="FFFFFF"/>
            <w:vAlign w:val="center"/>
          </w:tcPr>
          <w:p w14:paraId="5DD2C75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049F7F0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01C33327">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5161B2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l2br w:val="nil"/>
              <w:tr2bl w:val="nil"/>
            </w:tcBorders>
            <w:shd w:val="clear" w:color="auto" w:fill="FFFFFF"/>
            <w:vAlign w:val="center"/>
          </w:tcPr>
          <w:p w14:paraId="74D48B24">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学前儿童情绪情感的发展</w:t>
            </w:r>
          </w:p>
        </w:tc>
        <w:tc>
          <w:tcPr>
            <w:tcW w:w="1372" w:type="dxa"/>
            <w:tcBorders>
              <w:tl2br w:val="nil"/>
              <w:tr2bl w:val="nil"/>
            </w:tcBorders>
            <w:shd w:val="clear" w:color="auto" w:fill="FFFFFF"/>
            <w:vAlign w:val="center"/>
          </w:tcPr>
          <w:p w14:paraId="7548A5C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l2br w:val="nil"/>
              <w:tr2bl w:val="nil"/>
            </w:tcBorders>
            <w:shd w:val="clear" w:color="auto" w:fill="FFFFFF"/>
            <w:vAlign w:val="center"/>
          </w:tcPr>
          <w:p w14:paraId="7A362EFC">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2B5D3256">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353520BE">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l2br w:val="nil"/>
              <w:tr2bl w:val="nil"/>
            </w:tcBorders>
            <w:shd w:val="clear" w:color="auto" w:fill="FFFFFF"/>
            <w:vAlign w:val="center"/>
          </w:tcPr>
          <w:p w14:paraId="2A74C0BB">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学前儿童心理发展的影响因素</w:t>
            </w:r>
          </w:p>
        </w:tc>
        <w:tc>
          <w:tcPr>
            <w:tcW w:w="1372" w:type="dxa"/>
            <w:tcBorders>
              <w:tl2br w:val="nil"/>
              <w:tr2bl w:val="nil"/>
            </w:tcBorders>
            <w:shd w:val="clear" w:color="auto" w:fill="FFFFFF"/>
            <w:vAlign w:val="center"/>
          </w:tcPr>
          <w:p w14:paraId="0EDF30B7">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l2br w:val="nil"/>
              <w:tr2bl w:val="nil"/>
            </w:tcBorders>
            <w:shd w:val="clear" w:color="auto" w:fill="FFFFFF"/>
            <w:vAlign w:val="center"/>
          </w:tcPr>
          <w:p w14:paraId="1166E785">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14:paraId="68E145EC">
        <w:tblPrEx>
          <w:tblBorders>
            <w:top w:val="double" w:color="7E5F00" w:themeColor="accent4" w:themeShade="7F" w:sz="4" w:space="0"/>
            <w:left w:val="double" w:color="7E5F00" w:themeColor="accent4" w:themeShade="7F" w:sz="4" w:space="0"/>
            <w:bottom w:val="double" w:color="7E5F00" w:themeColor="accent4" w:themeShade="7F" w:sz="4" w:space="0"/>
            <w:right w:val="double" w:color="7E5F00" w:themeColor="accent4" w:themeShade="7F" w:sz="4" w:space="0"/>
            <w:insideH w:val="single" w:color="7E5F00" w:themeColor="accent4" w:themeShade="7F" w:sz="8" w:space="0"/>
            <w:insideV w:val="single" w:color="7E5F00" w:themeColor="accent4" w:themeShade="7F" w:sz="8" w:space="0"/>
          </w:tblBorders>
          <w:tblCellMar>
            <w:top w:w="0" w:type="dxa"/>
            <w:left w:w="108" w:type="dxa"/>
            <w:bottom w:w="0" w:type="dxa"/>
            <w:right w:w="108" w:type="dxa"/>
          </w:tblCellMar>
        </w:tblPrEx>
        <w:trPr>
          <w:trHeight w:val="850" w:hRule="atLeast"/>
          <w:jc w:val="center"/>
        </w:trPr>
        <w:tc>
          <w:tcPr>
            <w:tcW w:w="930" w:type="dxa"/>
            <w:tcBorders>
              <w:tl2br w:val="nil"/>
              <w:tr2bl w:val="nil"/>
            </w:tcBorders>
            <w:shd w:val="clear" w:color="auto" w:fill="FFFFFF"/>
            <w:vAlign w:val="center"/>
          </w:tcPr>
          <w:p w14:paraId="267CBF2F">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l2br w:val="nil"/>
              <w:tr2bl w:val="nil"/>
            </w:tcBorders>
            <w:shd w:val="clear" w:color="auto" w:fill="FFFFFF"/>
            <w:vAlign w:val="center"/>
          </w:tcPr>
          <w:p w14:paraId="14289108">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l2br w:val="nil"/>
              <w:tr2bl w:val="nil"/>
            </w:tcBorders>
            <w:shd w:val="clear" w:color="auto" w:fill="FFFFFF"/>
            <w:vAlign w:val="center"/>
          </w:tcPr>
          <w:p w14:paraId="6F82350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40</w:t>
            </w:r>
          </w:p>
        </w:tc>
        <w:tc>
          <w:tcPr>
            <w:tcW w:w="1600" w:type="dxa"/>
            <w:tcBorders>
              <w:tl2br w:val="nil"/>
              <w:tr2bl w:val="nil"/>
            </w:tcBorders>
            <w:shd w:val="clear" w:color="auto" w:fill="FFFFFF"/>
            <w:vAlign w:val="center"/>
          </w:tcPr>
          <w:p w14:paraId="53F579FD">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14:paraId="163371B7">
      <w:pPr>
        <w:rPr>
          <w:rFonts w:hint="eastAsia" w:ascii="黑体" w:hAnsi="黑体" w:eastAsia="黑体" w:cs="黑体"/>
          <w:b/>
          <w:bCs/>
          <w:color w:val="000000" w:themeColor="text1"/>
          <w:sz w:val="44"/>
          <w:szCs w:val="44"/>
          <w:lang w:eastAsia="zh-CN"/>
          <w14:textFill>
            <w14:solidFill>
              <w14:schemeClr w14:val="tx1"/>
            </w14:solidFill>
          </w14:textFill>
        </w:rPr>
        <w:sectPr>
          <w:headerReference r:id="rId6" w:type="first"/>
          <w:footerReference r:id="rId8" w:type="first"/>
          <w:headerReference r:id="rId5" w:type="default"/>
          <w:footerReference r:id="rId7" w:type="default"/>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pPr>
    </w:p>
    <w:p w14:paraId="22A1CA09">
      <w:pPr>
        <w:pStyle w:val="2"/>
        <w:bidi w:val="0"/>
        <w:jc w:val="center"/>
        <w:rPr>
          <w:rFonts w:hint="eastAsia" w:ascii="宋体" w:hAnsi="宋体" w:eastAsia="宋体" w:cs="宋体"/>
          <w:color w:val="auto"/>
          <w:lang w:eastAsia="zh-CN"/>
        </w:rPr>
      </w:pPr>
      <w:r>
        <w:rPr>
          <w:rFonts w:hint="eastAsia" w:ascii="Times New Roman" w:hAnsi="Times New Roman"/>
          <w:b/>
          <w:bCs/>
          <w:sz w:val="28"/>
          <w:szCs w:val="28"/>
        </w:rPr>
        <w:t>第</w:t>
      </w:r>
      <w:r>
        <w:rPr>
          <w:rFonts w:hint="eastAsia" w:ascii="Times New Roman" w:hAnsi="Times New Roman"/>
          <w:b/>
          <w:bCs/>
          <w:sz w:val="28"/>
          <w:szCs w:val="28"/>
          <w:lang w:val="en-US" w:eastAsia="zh-CN"/>
        </w:rPr>
        <w:t>3</w:t>
      </w:r>
      <w:r>
        <w:rPr>
          <w:rFonts w:hint="eastAsia" w:ascii="Times New Roman" w:hAnsi="Times New Roman"/>
          <w:b/>
          <w:bCs/>
          <w:sz w:val="28"/>
          <w:szCs w:val="28"/>
        </w:rPr>
        <w:t>课</w:t>
      </w:r>
      <w:r>
        <w:rPr>
          <w:rFonts w:hint="eastAsia" w:ascii="Times New Roman" w:hAnsi="Times New Roman"/>
          <w:b/>
          <w:bCs/>
          <w:sz w:val="28"/>
          <w:szCs w:val="28"/>
          <w:lang w:val="en-US" w:eastAsia="zh-CN"/>
        </w:rPr>
        <w:t xml:space="preserve">  </w:t>
      </w:r>
      <w:r>
        <w:rPr>
          <w:rFonts w:hint="eastAsia" w:ascii="Times New Roman" w:hAnsi="Times New Roman"/>
          <w:b/>
          <w:bCs/>
          <w:sz w:val="28"/>
          <w:szCs w:val="28"/>
          <w:lang w:eastAsia="zh-CN"/>
        </w:rPr>
        <w:t>学前儿童生理和运动能力的发展</w:t>
      </w:r>
    </w:p>
    <w:tbl>
      <w:tblPr>
        <w:tblStyle w:val="9"/>
        <w:tblW w:w="10772" w:type="dxa"/>
        <w:jc w:val="center"/>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Layout w:type="fixed"/>
        <w:tblCellMar>
          <w:top w:w="0" w:type="dxa"/>
          <w:left w:w="108" w:type="dxa"/>
          <w:bottom w:w="0" w:type="dxa"/>
          <w:right w:w="108" w:type="dxa"/>
        </w:tblCellMar>
      </w:tblPr>
      <w:tblGrid>
        <w:gridCol w:w="1626"/>
        <w:gridCol w:w="7404"/>
        <w:gridCol w:w="1742"/>
      </w:tblGrid>
      <w:tr w14:paraId="6B1127D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9CAAB6B">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bookmarkStart w:id="0" w:name="_GoBack"/>
            <w:r>
              <w:rPr>
                <w:rFonts w:hint="default" w:ascii="Times New Roman" w:hAnsi="宋体"/>
                <w:b/>
                <w:szCs w:val="20"/>
              </w:rPr>
              <w:t>课</w:t>
            </w:r>
            <w:r>
              <w:rPr>
                <w:rFonts w:hint="eastAsia" w:ascii="Times New Roman" w:hAnsi="Times New Roman"/>
                <w:b/>
                <w:szCs w:val="20"/>
              </w:rPr>
              <w:t>题</w:t>
            </w:r>
          </w:p>
        </w:tc>
        <w:tc>
          <w:tcPr>
            <w:tcW w:w="7173" w:type="dxa"/>
            <w:gridSpan w:val="2"/>
            <w:tcBorders>
              <w:tl2br w:val="nil"/>
              <w:tr2bl w:val="nil"/>
            </w:tcBorders>
            <w:vAlign w:val="center"/>
          </w:tcPr>
          <w:p w14:paraId="5C8B883F">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宋体"/>
                <w:szCs w:val="20"/>
                <w:lang w:eastAsia="zh-CN"/>
              </w:rPr>
              <w:t>学前儿童生理和运动能力的发展</w:t>
            </w:r>
          </w:p>
        </w:tc>
      </w:tr>
      <w:tr w14:paraId="3BBE8AD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B257BD0">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课时</w:t>
            </w:r>
          </w:p>
        </w:tc>
        <w:tc>
          <w:tcPr>
            <w:tcW w:w="7173" w:type="dxa"/>
            <w:gridSpan w:val="2"/>
            <w:tcBorders>
              <w:tl2br w:val="nil"/>
              <w:tr2bl w:val="nil"/>
            </w:tcBorders>
            <w:vAlign w:val="center"/>
          </w:tcPr>
          <w:p w14:paraId="733EBAB2">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135</w:t>
            </w:r>
            <w:r>
              <w:rPr>
                <w:rFonts w:hint="eastAsia" w:ascii="Times New Roman" w:hAnsi="宋体"/>
                <w:szCs w:val="20"/>
              </w:rPr>
              <w:t>min）。</w:t>
            </w:r>
          </w:p>
        </w:tc>
      </w:tr>
      <w:tr w14:paraId="0AEDC62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01F4D3B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l2br w:val="nil"/>
              <w:tr2bl w:val="nil"/>
            </w:tcBorders>
            <w:vAlign w:val="center"/>
          </w:tcPr>
          <w:p w14:paraId="27451268">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2998BF5E">
            <w:pPr>
              <w:keepNext w:val="0"/>
              <w:keepLines w:val="0"/>
              <w:suppressLineNumbers w:val="0"/>
              <w:spacing w:before="0" w:beforeAutospacing="0" w:after="0" w:afterAutospacing="0" w:line="360" w:lineRule="auto"/>
              <w:ind w:left="0" w:right="0" w:hanging="8"/>
              <w:rPr>
                <w:rFonts w:hint="default" w:ascii="Times New Roman" w:hAnsi="宋体"/>
                <w:bCs/>
                <w:szCs w:val="20"/>
              </w:rPr>
            </w:pPr>
            <w:r>
              <w:rPr>
                <w:rFonts w:hint="default" w:ascii="Times New Roman" w:hAnsi="Times New Roman"/>
                <w:szCs w:val="20"/>
              </w:rPr>
              <w:t>1</w:t>
            </w:r>
            <w:r>
              <w:rPr>
                <w:rFonts w:hint="default" w:ascii="Times New Roman" w:hAnsi="宋体"/>
                <w:bCs/>
                <w:szCs w:val="20"/>
              </w:rPr>
              <w:t>．</w:t>
            </w:r>
            <w:r>
              <w:rPr>
                <w:rFonts w:hint="eastAsia" w:ascii="Times New Roman" w:hAnsi="宋体"/>
                <w:bCs/>
                <w:szCs w:val="20"/>
              </w:rPr>
              <w:t>了解儿童身体发展的原则。</w:t>
            </w:r>
          </w:p>
          <w:p w14:paraId="03B6B1B7">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default" w:ascii="Times New Roman" w:hAnsi="Times New Roman"/>
                <w:szCs w:val="20"/>
              </w:rPr>
              <w:t>2</w:t>
            </w:r>
            <w:r>
              <w:rPr>
                <w:rFonts w:hint="default" w:ascii="Times New Roman" w:hAnsi="宋体"/>
                <w:bCs/>
                <w:szCs w:val="20"/>
              </w:rPr>
              <w:t>．</w:t>
            </w:r>
            <w:r>
              <w:rPr>
                <w:rFonts w:hint="eastAsia" w:ascii="Times New Roman" w:hAnsi="宋体"/>
                <w:bCs/>
                <w:szCs w:val="20"/>
              </w:rPr>
              <w:t>掌握动作对儿童发展的重要作用及儿童动作发展的规律。</w:t>
            </w:r>
          </w:p>
          <w:p w14:paraId="12320C39">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01F198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20" w:firstLineChars="200"/>
              <w:textAlignment w:val="auto"/>
              <w:rPr>
                <w:rFonts w:hint="default" w:ascii="Times New Roman" w:hAnsi="Times New Roman"/>
                <w:szCs w:val="20"/>
              </w:rPr>
            </w:pPr>
            <w:r>
              <w:rPr>
                <w:rFonts w:hint="eastAsia" w:ascii="Times New Roman" w:hAnsi="宋体"/>
                <w:bCs/>
                <w:szCs w:val="20"/>
              </w:rPr>
              <w:t>让学生通过学习</w:t>
            </w:r>
            <w:r>
              <w:rPr>
                <w:rFonts w:hint="eastAsia" w:ascii="Times New Roman" w:hAnsi="宋体"/>
                <w:bCs/>
                <w:szCs w:val="20"/>
                <w:lang w:eastAsia="zh-CN"/>
              </w:rPr>
              <w:t>学前儿童生理和运动能力的发展</w:t>
            </w:r>
            <w:r>
              <w:rPr>
                <w:rFonts w:hint="eastAsia" w:ascii="Times New Roman" w:hAnsi="宋体"/>
                <w:bCs/>
                <w:szCs w:val="20"/>
              </w:rPr>
              <w:t>，在学习本项目内容的基础上，培养学生用身心一体的思维方式看待学前儿童动作发展与智慧发展的关系。</w:t>
            </w:r>
          </w:p>
        </w:tc>
      </w:tr>
      <w:tr w14:paraId="036DFD3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52A9F43">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l2br w:val="nil"/>
              <w:tr2bl w:val="nil"/>
            </w:tcBorders>
            <w:vAlign w:val="center"/>
          </w:tcPr>
          <w:p w14:paraId="428226E6">
            <w:pPr>
              <w:keepNext w:val="0"/>
              <w:keepLines w:val="0"/>
              <w:suppressLineNumbers w:val="0"/>
              <w:spacing w:before="0" w:beforeAutospacing="0" w:after="0" w:afterAutospacing="0" w:line="360"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儿童身体发展的原则</w:t>
            </w:r>
          </w:p>
          <w:p w14:paraId="3C4ACA92">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儿童动作发展的规律</w:t>
            </w:r>
          </w:p>
        </w:tc>
      </w:tr>
      <w:tr w14:paraId="1512842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C1518D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l2br w:val="nil"/>
              <w:tr2bl w:val="nil"/>
            </w:tcBorders>
            <w:vAlign w:val="center"/>
          </w:tcPr>
          <w:p w14:paraId="62B1B17C">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讲授法、问答法、讨论法</w:t>
            </w:r>
          </w:p>
        </w:tc>
      </w:tr>
      <w:tr w14:paraId="79400EE2">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BC8C42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l2br w:val="nil"/>
              <w:tr2bl w:val="nil"/>
            </w:tcBorders>
            <w:vAlign w:val="center"/>
          </w:tcPr>
          <w:p w14:paraId="687F934D">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71D71334">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564C81D2">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l2br w:val="nil"/>
              <w:tr2bl w:val="nil"/>
            </w:tcBorders>
            <w:vAlign w:val="center"/>
          </w:tcPr>
          <w:p w14:paraId="4AEE1A4A">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14:paraId="7D702ED3">
            <w:pPr>
              <w:keepNext w:val="0"/>
              <w:keepLines w:val="0"/>
              <w:suppressLineNumbers w:val="0"/>
              <w:spacing w:before="0" w:beforeAutospacing="0" w:after="0" w:afterAutospacing="0" w:line="360"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14:paraId="3188326B">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14:paraId="6AFC0A45">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2C21837">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l2br w:val="nil"/>
              <w:tr2bl w:val="nil"/>
            </w:tcBorders>
            <w:shd w:val="clear" w:color="auto" w:fill="FEF2CC" w:themeFill="accent4" w:themeFillTint="32"/>
            <w:vAlign w:val="center"/>
          </w:tcPr>
          <w:p w14:paraId="46808A19">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主要教学内容及步骤</w:t>
            </w:r>
          </w:p>
        </w:tc>
        <w:tc>
          <w:tcPr>
            <w:tcW w:w="1366" w:type="dxa"/>
            <w:tcBorders>
              <w:tl2br w:val="nil"/>
              <w:tr2bl w:val="nil"/>
            </w:tcBorders>
            <w:shd w:val="clear" w:color="auto" w:fill="FEF2CC" w:themeFill="accent4" w:themeFillTint="32"/>
            <w:vAlign w:val="center"/>
          </w:tcPr>
          <w:p w14:paraId="51D00CFE">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14:paraId="789FEEF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376A3260">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5593BD0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l2br w:val="nil"/>
              <w:tr2bl w:val="nil"/>
            </w:tcBorders>
            <w:vAlign w:val="center"/>
          </w:tcPr>
          <w:p w14:paraId="57B432D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480D65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l2br w:val="nil"/>
              <w:tr2bl w:val="nil"/>
            </w:tcBorders>
            <w:vAlign w:val="center"/>
          </w:tcPr>
          <w:p w14:paraId="0F96B247">
            <w:pPr>
              <w:keepNext w:val="0"/>
              <w:keepLines w:val="0"/>
              <w:suppressLineNumbers w:val="0"/>
              <w:spacing w:before="0" w:beforeAutospacing="0" w:after="0" w:afterAutospacing="0" w:line="360"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14:paraId="3C792AB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267186F1">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D8DC6C4">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1CB3A3F5">
            <w:pPr>
              <w:keepNext w:val="0"/>
              <w:keepLines w:val="0"/>
              <w:widowControl/>
              <w:suppressLineNumbers w:val="0"/>
              <w:spacing w:before="0" w:beforeAutospacing="0" w:after="0" w:afterAutospacing="0" w:line="360" w:lineRule="auto"/>
              <w:ind w:left="0" w:right="0"/>
              <w:jc w:val="left"/>
              <w:rPr>
                <w:rFonts w:hint="eastAsia" w:ascii="Times New Roman" w:hAnsi="Times New Roman"/>
                <w:b w:val="0"/>
                <w:bCs/>
                <w:color w:val="C00000"/>
                <w:lang w:val="en-US" w:eastAsia="zh-CN"/>
              </w:rPr>
            </w:pPr>
            <w:r>
              <w:rPr>
                <w:rFonts w:hint="eastAsia" w:ascii="Times New Roman" w:hAnsi="Times New Roman"/>
                <w:b/>
                <w:color w:val="C00000"/>
              </w:rPr>
              <w:t>【教师】</w:t>
            </w:r>
            <w:r>
              <w:rPr>
                <w:rFonts w:hint="eastAsia" w:ascii="宋体" w:hAnsi="宋体" w:eastAsia="宋体" w:cs="宋体"/>
                <w:b w:val="0"/>
                <w:bCs/>
                <w:color w:val="C00000"/>
                <w:kern w:val="2"/>
                <w:sz w:val="21"/>
                <w:szCs w:val="21"/>
                <w:lang w:val="en-US" w:eastAsia="zh-CN" w:bidi="ar"/>
              </w:rPr>
              <w:t>展示学前儿童生理的发展</w:t>
            </w:r>
          </w:p>
          <w:p w14:paraId="4CFDE9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一、身体发展的原则</w:t>
            </w:r>
          </w:p>
          <w:p w14:paraId="1F1C88E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研究发现，儿童身体的发展应遵循以下四个原则。</w:t>
            </w:r>
          </w:p>
          <w:p w14:paraId="4B73F5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（一）头尾原则</w:t>
            </w:r>
          </w:p>
          <w:p w14:paraId="60108C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头尾原则是指身体各部分的发展必须从头部延伸到身体的下半部，次序是头部→颈部→躯干→下肢。头部发育早于颈部，颈部发育早于胸部，胸部发育早于腰骶，上肢发育早于下肢。</w:t>
            </w:r>
          </w:p>
          <w:p w14:paraId="140DDF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（二）近远原则</w:t>
            </w:r>
          </w:p>
          <w:p w14:paraId="5F996FD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近远原则是指发展从身体的中央部位进行至外围部位。近远原则意味着躯干的发展先于四肢末端的发展，手臂和腿的发育先于手指和脚趾的发育。</w:t>
            </w:r>
          </w:p>
          <w:p w14:paraId="5A0A57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（三）等级整合原则</w:t>
            </w:r>
          </w:p>
          <w:p w14:paraId="1323791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等级整合原则是指简单技能一般是独立发展的，后来这些简单的技能被整合成更复杂的技能。如相对复杂的手抓握东西的技能，直到婴儿学会如何控制和协调每个手指的运动时才能够掌握。</w:t>
            </w:r>
          </w:p>
          <w:p w14:paraId="7E4A9C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（四）系统独立性原则</w:t>
            </w:r>
          </w:p>
          <w:p w14:paraId="789BDA8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系统独立性原则指不同的身体系统有不同的发展速率。当身体的一个系统出现了某种发展时，并不意味着其他身体系统也出现了同样的发展现象。如在婴幼儿期，神经系统高速发展，而身体大小的改变则相对较少，性别特征的发展更加滞后。</w:t>
            </w:r>
          </w:p>
          <w:p w14:paraId="559784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二、身体的生长发育</w:t>
            </w:r>
          </w:p>
          <w:p w14:paraId="6A5532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（一）胎儿期</w:t>
            </w:r>
          </w:p>
          <w:p w14:paraId="28E7CD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科学发现，人类受精卵经过 40 次以上反复的细胞分裂，最终发育成具有各种器官的个体，这是个相当复杂的过程。从受精到分娩可以分为以下三个时期。</w:t>
            </w:r>
          </w:p>
          <w:p w14:paraId="6E3BA7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胚泡期</w:t>
            </w:r>
          </w:p>
          <w:p w14:paraId="1CCA3BD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自受精至 7 ～ 10 日，是孕卵着床时期。当某一致畸因子发生作用时，可破坏全部或大部分细胞，而使胚胎死亡，发生自然流产。如果致畸因子仅使少数细胞受损，但由于胚胎自身的调整潜力，能使其损害得到补偿，妊娠得以继续下去。这一时期被称为“最大毒性期”。</w:t>
            </w:r>
          </w:p>
          <w:p w14:paraId="26BAE7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胚胎期</w:t>
            </w:r>
          </w:p>
          <w:p w14:paraId="7709FD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自胚泡期结束至第 8 周，形成各器官的始基，初具人的雏形，这一时期是细胞强度分化期。很多因素均可影响胎儿的正常发育，大部分致畸因子都能够发挥作用，而产生很多畸形。这一时期也是生命存活与否的关键时期，被称为“致畸敏感期”。头部占了胚胎相当大的比例，约为总长的一半。</w:t>
            </w:r>
          </w:p>
          <w:p w14:paraId="7C315C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胎儿期</w:t>
            </w:r>
          </w:p>
          <w:p w14:paraId="563367C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自胚胎期结束至分娩为胎儿期。胎儿的发育成长是在遗传因素优势下，按一定程序进行的。在这一时期里，胎儿的各个器官和组织逐渐成熟，身体生长迅速，而进一步分化居于次要地位。胎儿 5 个月时，头部约占身长的 1/3。这一时期，虽然细胞毒因子可能引起细胞死亡从而导致出生后功能上的障碍，但形成畸形的机会已较少。胎儿期最显著的变化之一是身体成长加快，而头部生长相对减慢。胎儿的生殖器官分化尚未完成，中枢神经系统仍在继续分化中，所以这些器官仍有可能出现形态上的异常，需要引起注意。各个器官在形态上完成的同时，有的在功能上也已完成，有的则向后延。</w:t>
            </w:r>
          </w:p>
          <w:p w14:paraId="67B9E6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（二）婴儿期</w:t>
            </w:r>
          </w:p>
          <w:p w14:paraId="0D3306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新生儿期</w:t>
            </w:r>
          </w:p>
          <w:p w14:paraId="516D71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从胎儿娩出脐带结扎到诞生后 28 天的婴儿，称为新生儿。健康的新生儿，出生后会大声啼哭，但没有眼泪，有各种无意识的动作，吸吮能力强，充满活力。新生儿出生时身高约为 50 厘米，体重约为 3 ～ 3.5 千克，出生后 2 ～ 4 天出现生理性体重下降，平均比出生时下降 6% ～ 9%，一般不超过 10%，4 天后开始回升，2 ～ 10 天恢复到初生时体重。新生儿体型特殊，头大，身长，四肢短，呈外伸和屈曲姿势。头约占整个身高的1/4（成人为 1/8），腿约占 1/3（成人为 1/2）。随着年龄的增长，身体各部分比例才协调起来。</w:t>
            </w:r>
          </w:p>
          <w:p w14:paraId="44CAED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乳儿期</w:t>
            </w:r>
          </w:p>
          <w:p w14:paraId="628273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乳儿期为从 1 月到 1 岁，这段时期正是儿童的哺乳时期。这一时期，儿童身体发育非常快，身长和体重成倍增长。到 1 岁末，男婴的身长中位数已达 76.5 厘米，女婴的身长中位数已达 75.0 厘米，比出生时身长约增长 50%。体重增速更快，到 1 岁末，男婴的体重中位数为 10.05 千克，女婴的体重中位数为 9.40 千克，约为出生时的 3 倍。婴儿的骨骼肌肉系统发育得也较快，从 2 ～ 3 个月开始能抬头到 1 岁开始行走，脊柱的四个生理弯曲全部形成，这便扩大了婴儿的视野，是其心理快速发展的生理基础。</w:t>
            </w:r>
          </w:p>
          <w:p w14:paraId="4111227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（三）先学前期</w:t>
            </w:r>
          </w:p>
          <w:p w14:paraId="56F8BA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儿童的生长发育是一个连续的过程，先学前期是从 1 岁到 3 岁的时期。此期儿童身体继续成长，但较婴儿期有所减慢。平均身长第二年约增加 10 厘米，2 岁时，身长中位数男孩为 88.5 厘米，女孩为 87.2 厘米，头部占身长的比例已经降到 1/5；第三年平均身长约增加 8 厘米，身长中位数男孩为 97.5 厘米，女孩为 96.3 厘米。体重第二年增加 2.5 ～ 3千克，第三年增加 2 千克。3 岁时，儿童体重约为 14 千克。儿童胸围增长迅速，胸围逐渐接近头围，最后超过头围的尺寸。</w:t>
            </w:r>
          </w:p>
          <w:p w14:paraId="63898B1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（四）学前期</w:t>
            </w:r>
          </w:p>
          <w:p w14:paraId="361147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学前期指儿童从 3 岁到 6、7 岁的时期。身高每年增加 4 ～ 5 厘米，7 岁时儿童平均身高为 120 厘米左右。6 岁时，儿童头部与身高的比例为 1 ∶ 6。体重每年增加 2 千克左右，7 岁儿童平均体重达 20 千克以上。因大肌肉群发展，幼儿能不知疲倦地活动。小肌肉群也开始发展，使得 6、7 岁的幼儿能进行写字、绘画等活动。</w:t>
            </w:r>
          </w:p>
          <w:p w14:paraId="5AD3A8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三、神经系统的发育</w:t>
            </w:r>
          </w:p>
          <w:p w14:paraId="70338E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（一）胎儿期</w:t>
            </w:r>
          </w:p>
          <w:p w14:paraId="1088B1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人类大脑皮质在孕 8 周时开始发育，神经系统成熟大约经历了两个重要的演变时期：①早孕末期，控制运动和感觉的脑干相互融合。 中国 7 岁以下儿童在此时期假如受到基因因素、致畸因素或感染的影响，将会出现异常的神经发育；②孕中期，建立进入丘脑皮质的感觉传进通道。然而，足月时脑干的功能并未完全发育成熟，因此，对于任何一个个体发育而言，出生既不是开始也不是结束。</w:t>
            </w:r>
          </w:p>
          <w:p w14:paraId="1E2917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在怀孕 8 周时，胚胎的大脑皮层已经可以分辨出来了。到第 26 周时，胎儿大脑皮层已经基本上具有和成人大脑一样的沟和回以及皮层的 6 层结构，这是大脑形态上的初步发展。大脑皮层的细胞主要是在怀孕第 15 ～ 18 周形成的。</w:t>
            </w:r>
          </w:p>
          <w:p w14:paraId="65C59CE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妊娠早期胎儿交感神经紧张性比副交感神经紧张性高，副交感神经在孕 16 周后发育成熟，其紧张性也增高，并逐渐形成副交感占上风。中枢神经系统在孕 20 周时已基本具备掌管运动的功能。孕 28 周是胎儿中枢神经系统发育的一个关键时期。</w:t>
            </w:r>
          </w:p>
          <w:p w14:paraId="628FEB7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（二）婴儿期</w:t>
            </w:r>
          </w:p>
          <w:p w14:paraId="79C62EA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新生儿期</w:t>
            </w:r>
          </w:p>
          <w:p w14:paraId="0DC295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新生儿出生时脑的重量约为 390 克，其重量占体重的 10% ～ 12%（成人仅占 2%)，脑相对较大。出生后儿童脑重量随年龄增长而增长，增长的速度先快后慢。新生儿大脑在结构上已经初具成人规模，但脑的机能还远远不够发达，大脑的沟、回和裂虽然形成，但较平浅。脑干及脊髓的发育较完善，运动不受大脑皮层支配，所以新生儿有不自主和不协调的动作。大脑皮层兴奋性低，易疲劳，觉醒时间一昼夜仅 2 ～ 3 小时，除吃奶、大小便外，都处于睡眠状态。睡眠是一种保护性抑制。当刺激超过一定限度或持续时间过久时，神经细胞产生疲劳，导致大脑皮层的兴奋性降低，从而进入抑制状态，称为超限抑制。超限抑制对大脑皮层细胞具有保护作用，所以又称为保护性抑制。一般的普通刺激对新生儿来说都是超强刺激，所以新生儿经常处在睡眠状态。</w:t>
            </w:r>
          </w:p>
          <w:p w14:paraId="622E700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乳儿期</w:t>
            </w:r>
          </w:p>
          <w:p w14:paraId="71797F6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乳儿期大脑发展很快，表现如下。</w:t>
            </w:r>
          </w:p>
          <w:p w14:paraId="11C541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（1）脑重迅速增加。刚出生时脑重为 390 克左右，9 个月时为 660 克左右，1 岁时为900 克左右。</w:t>
            </w:r>
          </w:p>
          <w:p w14:paraId="3841E3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（2）脑细胞形状和大小都在变化。大脑皮层的6层细胞都在发展，树状突不断增长，并且分支越来越多，突出数量不断增加，为复杂的神经联系提供了可能。</w:t>
            </w:r>
          </w:p>
          <w:p w14:paraId="6988D2F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（3）神经纤维的髓鞘化在逐渐完成。新生儿只有许多反射动作，到 1 岁时，出现了随意性动作。神经纤维的髓鞘化是脑内部结构成熟的重要标志，能保证神经冲动传导的迅速性和准确性。</w:t>
            </w:r>
          </w:p>
          <w:p w14:paraId="6F02AB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（4）大脑皮层的内抑制机能明显发展。如 1 个月时婴儿能分辨糖水和白开水，4 个月时能分辨红光和白光，这都是分化抑制。消退抑制在 2 个月的时候也出现，如对喂奶时间形成条件反射后，到了固定的时间不再给婴儿喂奶，婴儿吃不到奶，原来形成的条件反射就会消失。大约半岁的时候，婴儿开始出现延缓抑制，能等待一小段时间得到食物等。抑制机能的发展为儿童更准确地反应事物，形成有意动作提供了可能性。</w:t>
            </w:r>
          </w:p>
          <w:p w14:paraId="6F72277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（三）先学前期</w:t>
            </w:r>
          </w:p>
          <w:p w14:paraId="591D8C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先学前期，儿童神经系统的结构和功能继续发展。到 3 岁末，脑重约为 1000 克。</w:t>
            </w:r>
          </w:p>
          <w:p w14:paraId="2799D5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结构上，脑细胞体积继续增大，神经纤维迅速延长，分支增多，相互之间形成复杂的联系。神经纤维髓鞘化过程继续完善，约 2 岁时，感觉神经、运动神经以及锥体束纤维的神经髓鞘初步完成。大脑皮质的抑制功能逐渐增强，以对内在器官的调节增强为主。大脑与脊髓的通路已经建立，人类特有的第二信号系统开始发育。先学前期儿童神经系统机能的发展主要表现在皮质抑制机能和第二信号系统的发展上。</w:t>
            </w:r>
          </w:p>
          <w:p w14:paraId="4BA9D6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皮质抑制机能的发展</w:t>
            </w:r>
          </w:p>
          <w:p w14:paraId="7B2EB8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先学前期儿童随着神经系统的日益成熟，内抑制机能也迅速地发展起来。内抑制的发展使大脑皮质的分析综合活动日益精细准确，对心理活动和行为的调节作用也有所增强，儿童有可能较长时间地从事某种活动，抑制与活动不相关的行为，也开始能按照成人的指示来支配自己的行为，“我行我素”状况与婴儿期相比有了转变。当然，先学前期儿童大脑皮质的兴奋和抑制过程依然是不平衡的，抑制过程远弱于兴奋过程，条件抑制也远大于非条件抑制。这造成了儿童活动的高度不稳定性、冲动性，但较之婴儿期已有较大进步。</w:t>
            </w:r>
          </w:p>
          <w:p w14:paraId="707C60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第二信号系统的形成和发展</w:t>
            </w:r>
          </w:p>
          <w:p w14:paraId="69769E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婴儿期是第一信号系统发展的时期。第一信号系统是以现实事物为条件刺激物而形成的暂时神经联系系统。婴儿看见妈妈的形象就出现高兴的表情，伸手要妈妈抱，妈妈的形象是具体刺激物。第一信号系统多是以感觉、知觉、表象等直观形式来作为刺激物的。</w:t>
            </w:r>
          </w:p>
          <w:p w14:paraId="0326D7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进入先学前期，儿童的语言表达能力出现，第二信号系统是以“词”作为条件刺激物而形成的暂时神经联系系统。人类的词总是表示一定的事物，因而可以作为具体的条件刺激物的信号而形成条件反射。如：看见穿白大褂的医生就哭叫的儿童，当听见说医生来了，也会哭，这就是第二信号系统的活动。“医生”这个词是条件刺激物，代表穿白大褂的医生，而穿白大褂的医生又是打针痛的信号。因此，在第二信号系统中，词是一种“信号的信号”。有了词才有了第二信号系统，它的存在使人脑的反映机能达到最高水平，才使人的心理以其抽象概括性和自觉能动性而大大优于动物心理。</w:t>
            </w:r>
          </w:p>
          <w:p w14:paraId="052365A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第二信号系统是在第一信号系统基础上发展起来的，而且总是与第一信号系统联系在一起。两种信号系统协同成为心理现象发生的基础。</w:t>
            </w:r>
          </w:p>
          <w:p w14:paraId="13CE095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textAlignment w:val="auto"/>
              <w:rPr>
                <w:rFonts w:hint="default" w:ascii="Times New Roman" w:hAnsi="Times New Roman"/>
                <w:b/>
                <w:bCs w:val="0"/>
                <w:color w:val="000000" w:themeColor="text1"/>
                <w:lang w:val="en-US" w:eastAsia="zh-CN"/>
                <w14:textFill>
                  <w14:solidFill>
                    <w14:schemeClr w14:val="tx1"/>
                  </w14:solidFill>
                </w14:textFill>
              </w:rPr>
            </w:pPr>
            <w:r>
              <w:rPr>
                <w:rFonts w:hint="default" w:ascii="Times New Roman" w:hAnsi="Times New Roman"/>
                <w:b/>
                <w:bCs w:val="0"/>
                <w:color w:val="000000" w:themeColor="text1"/>
                <w:lang w:val="en-US" w:eastAsia="zh-CN"/>
                <w14:textFill>
                  <w14:solidFill>
                    <w14:schemeClr w14:val="tx1"/>
                  </w14:solidFill>
                </w14:textFill>
              </w:rPr>
              <w:t>（四）学前期</w:t>
            </w:r>
          </w:p>
          <w:p w14:paraId="7B6A12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学前儿童在正常的养育环境中，神经系统的结构更加复杂，机能进一步完善。</w:t>
            </w:r>
          </w:p>
          <w:p w14:paraId="1536A61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 脑结构的发展</w:t>
            </w:r>
          </w:p>
          <w:p w14:paraId="70BFAF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学前儿童脑的重量继续增加，在 7 岁时已经达到 1250 ～ 1300 克，约达到成人脑重的 90%，接近成人脑重的最低水平。神经细胞体积增大，纤维伸长，分支增多。到 7 岁时神经纤维髓鞘化基本完成，神经的传导功能迅速而准确，整个脑皮质达到相当成熟的程度。</w:t>
            </w:r>
          </w:p>
          <w:p w14:paraId="4B9749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 脑功能的发展</w:t>
            </w:r>
          </w:p>
          <w:p w14:paraId="1481DF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学前期大脑皮层功能有明显发育，其特点主要有以下几点。</w:t>
            </w:r>
          </w:p>
          <w:p w14:paraId="481EC96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（1）兴奋性增强。学前期儿童大脑皮层细胞活动能力增强，所以兴奋过程也增强，睡眠时间缩短，觉醒和活动时间延长。7 岁儿童每天睡 11 个小时就足够了，这使得儿童有更加充足的时间参加游戏和学习实践活动。</w:t>
            </w:r>
          </w:p>
          <w:p w14:paraId="424677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（2）抑制过程发展。学前儿童能够根据要求安静地坐下来，听讲故事或参加某一游戏，控制自己的行动。这为培养幼儿良好的习惯和优良的个性品质提供了前提，也为幼儿精确的认知事物准备了条件。</w:t>
            </w:r>
          </w:p>
          <w:p w14:paraId="21B159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（3）兴奋与抑制的过程不平衡。学前期兴奋仍然强于抑制过程，所以儿童不能够长时间地控制自己的行动，常会因为一点小事而产生情绪上的波动。</w:t>
            </w:r>
          </w:p>
          <w:p w14:paraId="7B1022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4）第二信号系统发展。学前期儿童绝大多数进入幼儿园，与外界接触范围日益扩大，言语交往机会增多，词汇量增加，言语内容逐渐丰富，能初步利用语言对外界进行概括，产生初步的抽象思维。懂得指令的意义，并能按指令做出相应的动作，使心理活动产生了意志性。不过，此时期第二信号系统活动仍比较弱，与第一信号系统结合进行教育比较合适。</w:t>
            </w:r>
          </w:p>
          <w:p w14:paraId="2E36E0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5）神经反射功能逐渐完善。学前期脑对内脏功能的控制逐渐完善，如学前儿童一般都能控制大小便等。但由于兴奋与抑制功能尚不平衡，控制能力还较薄弱，生理活动常因外界强烈刺激、不良情绪、过多活动以及疲劳的影响而失控。</w:t>
            </w:r>
          </w:p>
          <w:p w14:paraId="1E1A7D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（6）大脑两半球开始执行不同的功能。对于大多数儿童来说，在 3 ～ 6 岁之间，大脑左半球表现出发展的加速，6 岁以后左半球发育转向平稳。而右半球成熟的速度较慢，仅在 8 ～ 10 岁之间略显出速度的增加。与之相适应，学前儿童语言能力发展迅速，而空间认知能力要从童年期到青少年期才显现出逐渐发展的趋势。</w:t>
            </w:r>
          </w:p>
          <w:p w14:paraId="64B3D4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根据观察，5 ～ 6 个月的婴儿就开始表现出利手的倾向，他们大多数都喜欢用右手去够东西。大约 2 岁时，利手已经比较稳定，而在幼儿期和小学阶段，利手继续发展和加强。据国外统计，属于右利手的人大约占人口的 90%，这些人的语言活动和对右利手的控制由左脑完成。而余下的 10% 的左利手者，其语言活动往往是左右脑协同支配，这表明左利手者脑的偏侧优势不很明显。事实上，有不少左利手者是属于双利手，虽然他们喜欢用左手，但有时他们对使用右手也感到很方便。所以左利手儿童可能具有更大的发展潜力。</w:t>
            </w:r>
          </w:p>
          <w:p w14:paraId="784C79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3. 脑电波特征</w:t>
            </w:r>
          </w:p>
          <w:p w14:paraId="37F864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脑电频率是儿童发育过程中最重要的参数。人脑电波有多种形式，其中 α 波是人脑活动的最基本的节律，频率为 8 ～ 13 次 / 秒；θ 波的频率一般为 4 ～ 7 次 / 秒，正常成人在觉醒状态下很少出现；δ 波的频率一般为 0.5 ～ 3 次 / 秒，意味着皮层活动性降低，正常成人在觉醒状态绝少出现。我国心理学家发现儿童脑电图的变化趋势是：新生儿的脑电图多为 δ 波，而且不规则、不对称、不成形。随着儿童年龄的增长，脑电波趋于有规律，频率升高。一般 5 个月时枕叶开始出现 θ 波，1 ～ 3 岁时 δ 波减少，θ 波增多，同时出现少量 α 波。4 ～ 7 岁时脑电波的情况是 θ 波减少，α 波增多。8 ～ 12 岁时 θ波开始从枕叶、颞叶、顶叶消失，α 波占主要地位。13 岁左右脑电波基本达到成人水平。若以儿童的脑皮质细胞的电活动频率基本上达到 α 波范围与 θ 波基本上消失为成熟指标，则儿童的枕叶到 9 岁时基本上成熟，颞叶到 11 岁时基本上成熟，而全皮质（指枕叶、颞叶与顶叶）则到 13 岁时才基本成熟，可见儿童大脑各区的成熟程度是由后往前分别进行的，其程序是枕叶（O）—颞叶（T）—顶叶（P）—额叶（F）。O → T → P 发展线路已被证实，P → F 线路是有根据的假想。O → T → P → F 发展线路是正常儿童的脑逐渐发展至成熟的必然规律。许多白痴和痴愚儿童的脑发展则在线路的始端 O 前就已中断，而迟钝的儿童的脑发展则可能在线路的某个转折部分中断。</w:t>
            </w:r>
          </w:p>
          <w:p w14:paraId="41AFB4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default" w:ascii="Times New Roman" w:hAnsi="Times New Roman"/>
                <w:b w:val="0"/>
                <w:bCs/>
                <w:color w:val="000000" w:themeColor="text1"/>
                <w:lang w:val="en-US" w:eastAsia="zh-CN"/>
                <w14:textFill>
                  <w14:solidFill>
                    <w14:schemeClr w14:val="tx1"/>
                  </w14:solidFill>
                </w14:textFill>
              </w:rPr>
            </w:pPr>
            <w:r>
              <w:rPr>
                <w:rFonts w:hint="default" w:ascii="Times New Roman" w:hAnsi="Times New Roman"/>
                <w:b w:val="0"/>
                <w:bCs/>
                <w:color w:val="000000" w:themeColor="text1"/>
                <w:lang w:val="en-US" w:eastAsia="zh-CN"/>
                <w14:textFill>
                  <w14:solidFill>
                    <w14:schemeClr w14:val="tx1"/>
                  </w14:solidFill>
                </w14:textFill>
              </w:rPr>
              <w:t>有关研究证明，儿童脑的发展有其严格的程序性，它的发展是逐渐的、连续的，但不是等速的与直线的。在 4 ～ 20 岁这个年龄阶段中存在着两个显著的加速时期：即约 5 ～ 6 岁是第一加速期，表现为枕叶 α 波与 θ 波斗争最为激烈，α 波逐渐占优势；13 ～ 14 岁左右是第二个加速期，表现为除额叶外，其他皮层中 α 波与 θ 波的斗争结束，α 波代替 θ 波。对儿童脑电的研究使我们看到了儿童脑发育的逐渐成熟，这为儿童的高级心理和复杂行为的发展奠定了生理基础。</w:t>
            </w:r>
          </w:p>
          <w:p w14:paraId="212321F3">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3B0C08C3">
            <w:pPr>
              <w:keepNext w:val="0"/>
              <w:keepLines w:val="0"/>
              <w:suppressLineNumbers w:val="0"/>
              <w:spacing w:before="0" w:beforeAutospacing="0" w:after="0" w:afterAutospacing="0" w:line="360" w:lineRule="auto"/>
              <w:ind w:left="0" w:right="0"/>
              <w:jc w:val="left"/>
              <w:rPr>
                <w:rFonts w:hint="default" w:ascii="Times New Roman" w:hAnsi="Times New Roman"/>
                <w:b/>
                <w:szCs w:val="20"/>
              </w:rPr>
            </w:pPr>
            <w:r>
              <w:rPr>
                <w:rFonts w:hint="eastAsia" w:ascii="Times New Roman" w:hAnsi="Times New Roman"/>
                <w:b/>
                <w:szCs w:val="24"/>
                <w:lang w:val="en-US" w:eastAsia="zh-CN"/>
              </w:rPr>
              <w:t>展示简笔画的概（一）</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14:paraId="492D99E8">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9C46B45">
            <w:pPr>
              <w:keepNext w:val="0"/>
              <w:keepLines w:val="0"/>
              <w:suppressLineNumbers w:val="0"/>
              <w:spacing w:before="0" w:beforeAutospacing="0" w:after="0" w:afterAutospacing="0" w:line="360" w:lineRule="auto"/>
              <w:ind w:left="0" w:right="0" w:hanging="8"/>
              <w:jc w:val="center"/>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l2br w:val="nil"/>
              <w:tr2bl w:val="nil"/>
            </w:tcBorders>
            <w:vAlign w:val="center"/>
          </w:tcPr>
          <w:p w14:paraId="64B6FD3D">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FBC07AF">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val="en-US" w:eastAsia="zh-CN"/>
              </w:rPr>
              <w:t>简述</w:t>
            </w:r>
            <w:r>
              <w:rPr>
                <w:rFonts w:hint="eastAsia" w:hAnsi="宋体"/>
                <w:bCs/>
                <w:lang w:eastAsia="zh-CN"/>
              </w:rPr>
              <w:t>脑电波特征。</w:t>
            </w:r>
          </w:p>
        </w:tc>
        <w:tc>
          <w:tcPr>
            <w:tcW w:w="1366" w:type="dxa"/>
            <w:tcBorders>
              <w:tl2br w:val="nil"/>
              <w:tr2bl w:val="nil"/>
            </w:tcBorders>
            <w:vAlign w:val="center"/>
          </w:tcPr>
          <w:p w14:paraId="7E4E3D6C">
            <w:pPr>
              <w:keepNext w:val="0"/>
              <w:keepLines w:val="0"/>
              <w:suppressLineNumbers w:val="0"/>
              <w:spacing w:before="0" w:beforeAutospacing="0" w:after="0" w:afterAutospacing="0" w:line="360"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14:paraId="49B9A13F">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8F8F4C7">
            <w:pPr>
              <w:keepNext w:val="0"/>
              <w:keepLines w:val="0"/>
              <w:suppressLineNumbers w:val="0"/>
              <w:spacing w:before="0" w:beforeAutospacing="0" w:after="0" w:afterAutospacing="0" w:line="360" w:lineRule="auto"/>
              <w:ind w:left="0" w:right="0"/>
              <w:jc w:val="center"/>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64125C15">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l2br w:val="nil"/>
              <w:tr2bl w:val="nil"/>
            </w:tcBorders>
            <w:vAlign w:val="center"/>
          </w:tcPr>
          <w:p w14:paraId="5188F124">
            <w:pPr>
              <w:keepNext w:val="0"/>
              <w:keepLines w:val="0"/>
              <w:widowControl w:val="0"/>
              <w:suppressLineNumbers w:val="0"/>
              <w:spacing w:before="0" w:beforeAutospacing="0" w:after="0" w:afterAutospacing="0" w:line="360" w:lineRule="auto"/>
              <w:ind w:left="0" w:right="0"/>
              <w:jc w:val="both"/>
              <w:rPr>
                <w:rFonts w:hint="default" w:ascii="宋体" w:hAnsi="宋体" w:cs="宋体"/>
                <w:b/>
                <w:bCs w:val="0"/>
                <w:color w:val="0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展示学前儿童运动能力的发展（</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637826B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一、动作发展的规律</w:t>
            </w:r>
          </w:p>
          <w:p w14:paraId="7599717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动作的发展是在脑和神经中枢、神经、肌肉控制下进行的，因此，儿童动作的发展和儿童身体的发展、大脑和神经系统的发展密切相关。动作的发展和身体的发展密切相关，儿童动作的发展也有类似身体发展的规律。</w:t>
            </w:r>
          </w:p>
          <w:p w14:paraId="2617D13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（一）由整体到分化再到整体</w:t>
            </w:r>
          </w:p>
          <w:p w14:paraId="474D8A9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最初的动作是全身性的、笼统的、弥漫的。比如，新生儿无论受到什么不良刺激，如饿了、尿了、拉了，都是边哭喊边全身乱动。他们不能准确定位刺激部位，动作反应非常的不精确。以后，儿童动作逐渐局部化、准确化和专门化。随着神经系统和肌肉的成熟以及婴儿自身的反复练习，动作不断分化。例如，把毛巾放在 2 个月儿童的脸上，就会引起全身性的乱动。5 个月的儿童开始出现比较有定向的动作，双手向毛巾方向乱抓。而 8 个月的儿童，能毫不费力地拉下毛巾。</w:t>
            </w:r>
          </w:p>
          <w:p w14:paraId="24028C9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在婴儿获得了对各部分小肌肉群动作的控制之后，又学会把这些小动作“归并”到一起，整合成为更加复杂的整体动作。如：婴儿在学会控制头部、颈部、手臂的动作后，在这些已经分化了的动作的基础上整合协调产生了坐的动作，这是更高一级的整体动作。</w:t>
            </w:r>
          </w:p>
          <w:p w14:paraId="1E89427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（二）由上到下</w:t>
            </w:r>
          </w:p>
          <w:p w14:paraId="33EF54F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儿童最早发展的是头部动作，然后自上而下，学会俯撑、翻身、坐、爬、站，最后才学走路。</w:t>
            </w:r>
          </w:p>
          <w:p w14:paraId="0A1CD0D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（三）由中央到边缘</w:t>
            </w:r>
          </w:p>
          <w:p w14:paraId="0A1F6A44">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动作发展从身体中部开始，越接近躯干的部位，动作发展越早，而远离身体中心的四肢端动作发展较迟。如身体上部的肩部、上臂动作先发展成熟，其次是肘部、手部动作发展，手指动作发展最晚。下肢动作也是如此，臀部、大腿动作先发展，其次是膝盖、脚的动作发展，最后才发展脚趾动作。</w:t>
            </w:r>
          </w:p>
          <w:p w14:paraId="7B254A0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（四）由粗到细</w:t>
            </w:r>
          </w:p>
          <w:p w14:paraId="7DF68727">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先学会大肌肉、大幅度的粗大动作以后才逐渐学会小肌肉的精细动作。如儿童先学会头部动作、躯体动作、双臂动作、腿部动作等躯体大肌肉动作以后才学会灵巧的手部小肌肉动作，以及准确的视觉动作等。儿童用手握笔一笔一画地写字，往往要到 6、7 岁才能做到。</w:t>
            </w:r>
          </w:p>
          <w:p w14:paraId="042AD6EB">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bCs w:val="0"/>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（五）由无意到有意</w:t>
            </w:r>
          </w:p>
          <w:p w14:paraId="6452B3C9">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儿童动作的发展越来越多地受心理、意识的支配，呈现出从无意动作向有意动作发展的趋势。婴儿最初的动作是无意的，当他做出各种动作时，既无目的也不知道自己在做什么。以后逐渐出现有目的的动作，6 个月以后才开始意识到自己所做的动作。</w:t>
            </w:r>
          </w:p>
          <w:p w14:paraId="0C7BFBD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2"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bCs w:val="0"/>
                <w:color w:val="000000"/>
                <w:kern w:val="2"/>
                <w:sz w:val="21"/>
                <w:szCs w:val="21"/>
                <w:lang w:val="en-US" w:eastAsia="zh-CN" w:bidi="ar"/>
              </w:rPr>
              <w:t>二、胎儿期动作发展</w:t>
            </w:r>
          </w:p>
          <w:p w14:paraId="283D1E28">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现代科学已经发现，胎儿在母体内会有一些自发运动及刺激后运动。自发运动如心跳、呼吸、眨眼、吞咽及四肢躯干运动等，自发运动来源于胎儿本身。而受刺激后运动来源于两种类型的刺激：①母体运动后引起的骨盆血管血流改变；②外界环境的刺激，如声音、震动、光线和抚摩等。</w:t>
            </w:r>
          </w:p>
          <w:p w14:paraId="4B2E146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8 周的胎儿会踢或伸直双腿，还能把手臂上下移动；10 周的胎儿可以做出很多手臂和腿的动作，尽管这些动作显得稚嫩；11 周的胎儿可以把拇指放进嘴里；12 周的胎儿可以做出打哈欠的动作；22 周的胎儿可以做出很好的手部和手指的动作，可以抓、擦、拍自己的脸和鼻；约从 25 周起，胎儿视网膜发育完全，胎儿有时睁开眼睛，有时闭上眼睛，眼睛可上下左右四处转动。胎儿也能抓取、呼吸、吞咽、打嗝以及尝味。产科医生以注射甜素进入羊膜来医治羊水过多的现象。胎儿会迅速吞咽一些液体，吸收它，并且通过母体把它排出去。</w:t>
            </w:r>
          </w:p>
          <w:p w14:paraId="24BA49B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lang w:val="en-US" w:eastAsia="zh-CN" w:bidi="ar"/>
              </w:rPr>
            </w:pPr>
            <w:r>
              <w:rPr>
                <w:rFonts w:hint="default" w:ascii="宋体" w:hAnsi="宋体" w:eastAsia="宋体" w:cs="宋体"/>
                <w:b w:val="0"/>
                <w:bCs/>
                <w:color w:val="000000"/>
                <w:kern w:val="2"/>
                <w:sz w:val="21"/>
                <w:szCs w:val="21"/>
                <w:lang w:val="en-US" w:eastAsia="zh-CN" w:bidi="ar"/>
              </w:rPr>
              <w:t>28 周后胎儿的脑部能控制呼吸、体温及吞咽，同时许多反射动作，包括吸吮、抓和紧握此时均会出现；32 周后，胎儿开始会倾斜、滚动，或是因为太大或尖锐的声音而抬起头，胎儿也会因母亲的心跳声及规律的散步得到安慰。</w:t>
            </w:r>
          </w:p>
          <w:p w14:paraId="061508C5">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bCs/>
                <w:color w:val="538135"/>
                <w:kern w:val="2"/>
                <w:sz w:val="21"/>
                <w:szCs w:val="21"/>
                <w:lang w:val="en-US" w:eastAsia="zh-CN" w:bidi="ar"/>
              </w:rPr>
            </w:pPr>
            <w:r>
              <w:rPr>
                <w:rFonts w:hint="default" w:ascii="宋体" w:hAnsi="宋体" w:eastAsia="宋体" w:cs="宋体"/>
                <w:b w:val="0"/>
                <w:bCs/>
                <w:color w:val="000000"/>
                <w:kern w:val="2"/>
                <w:sz w:val="21"/>
                <w:szCs w:val="21"/>
                <w:lang w:val="en-US" w:eastAsia="zh-CN" w:bidi="ar"/>
              </w:rPr>
              <w:t>总之，胎儿在母体内不是绝对被动、消极的，他以各种反射性运动来显示自己的存在和活力。</w:t>
            </w:r>
          </w:p>
          <w:p w14:paraId="1F66949B">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6FD11425">
            <w:pPr>
              <w:keepNext w:val="0"/>
              <w:keepLines w:val="0"/>
              <w:suppressLineNumbers w:val="0"/>
              <w:spacing w:before="0" w:beforeAutospacing="0" w:after="0" w:afterAutospacing="0" w:line="360" w:lineRule="auto"/>
              <w:ind w:left="0" w:right="0"/>
              <w:jc w:val="left"/>
              <w:rPr>
                <w:rFonts w:hint="default" w:ascii="Times New Roman" w:hAnsi="Times New Roman"/>
                <w:b/>
                <w:szCs w:val="24"/>
              </w:rPr>
            </w:pPr>
            <w:r>
              <w:rPr>
                <w:rFonts w:hint="eastAsia" w:ascii="Times New Roman" w:hAnsi="Times New Roman"/>
                <w:b/>
                <w:szCs w:val="24"/>
              </w:rPr>
              <w:t>通过教师讲解，了解</w:t>
            </w:r>
            <w:r>
              <w:rPr>
                <w:rFonts w:hint="eastAsia" w:ascii="Times New Roman" w:hAnsi="Times New Roman"/>
                <w:b/>
                <w:szCs w:val="24"/>
                <w:lang w:val="en-US" w:eastAsia="zh-CN"/>
              </w:rPr>
              <w:t>学前儿童运动能力的发展（一）的基本理论知</w:t>
            </w:r>
            <w:r>
              <w:rPr>
                <w:rFonts w:hint="eastAsia" w:ascii="Times New Roman" w:hAnsi="Times New Roman"/>
                <w:b/>
                <w:szCs w:val="24"/>
              </w:rPr>
              <w:t>识。</w:t>
            </w:r>
          </w:p>
        </w:tc>
      </w:tr>
      <w:tr w14:paraId="608EDEC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753A253">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A02BD6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15100DF8">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1CE0AB94">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学前儿童运动能力的发展</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一</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，让学生知道儿童先学会大肌肉、大幅度的粗大动作以后才逐渐学会小肌肉的精细动作。</w:t>
            </w:r>
          </w:p>
        </w:tc>
        <w:tc>
          <w:tcPr>
            <w:tcW w:w="1366" w:type="dxa"/>
            <w:tcBorders>
              <w:tl2br w:val="nil"/>
              <w:tr2bl w:val="nil"/>
            </w:tcBorders>
            <w:vAlign w:val="center"/>
          </w:tcPr>
          <w:p w14:paraId="0910AD5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226215AE">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62266CE7">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l2br w:val="nil"/>
              <w:tr2bl w:val="nil"/>
            </w:tcBorders>
            <w:vAlign w:val="center"/>
          </w:tcPr>
          <w:p w14:paraId="2A112484">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1D2E8CBD">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简述胎儿期动作发展。</w:t>
            </w:r>
          </w:p>
        </w:tc>
        <w:tc>
          <w:tcPr>
            <w:tcW w:w="1366" w:type="dxa"/>
            <w:tcBorders>
              <w:tl2br w:val="nil"/>
              <w:tr2bl w:val="nil"/>
            </w:tcBorders>
            <w:vAlign w:val="center"/>
          </w:tcPr>
          <w:p w14:paraId="7CAA752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14:paraId="388C3C51">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75F070C">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l2br w:val="nil"/>
              <w:tr2bl w:val="nil"/>
            </w:tcBorders>
            <w:vAlign w:val="center"/>
          </w:tcPr>
          <w:p w14:paraId="5F08FE83">
            <w:pPr>
              <w:keepNext w:val="0"/>
              <w:keepLines w:val="0"/>
              <w:widowControl/>
              <w:suppressLineNumbers w:val="0"/>
              <w:spacing w:before="0" w:beforeAutospacing="0" w:after="0" w:afterAutospacing="0" w:line="360" w:lineRule="auto"/>
              <w:ind w:left="0" w:right="0"/>
              <w:jc w:val="left"/>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展示学前儿童运动能力的发展（</w:t>
            </w:r>
            <w:r>
              <w:rPr>
                <w:rFonts w:hint="eastAsia" w:ascii="宋体" w:hAnsi="宋体" w:cs="宋体"/>
                <w:b w:val="0"/>
                <w:bCs/>
                <w:color w:val="C00000"/>
                <w:kern w:val="2"/>
                <w:sz w:val="21"/>
                <w:szCs w:val="21"/>
                <w:lang w:val="en-US" w:eastAsia="zh-CN" w:bidi="ar"/>
              </w:rPr>
              <w:t>二）</w:t>
            </w:r>
          </w:p>
          <w:p w14:paraId="5CF476B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三、婴儿期动作发展</w:t>
            </w:r>
          </w:p>
          <w:p w14:paraId="7742CF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（一）新生儿的反射活动</w:t>
            </w:r>
          </w:p>
          <w:p w14:paraId="4C3D7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新生儿大脑皮层尚未成熟，其动作主要表现为在皮层下部位进行的一些先天遗传的无条件反射，如对生存有意义的觅食、吸吮、吞咽反射，防御、定向反射等，以及一些特有的反射。</w:t>
            </w:r>
          </w:p>
          <w:p w14:paraId="63B5F1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无条件食物反射</w:t>
            </w:r>
          </w:p>
          <w:p w14:paraId="4D0D4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无条件食物反射包括觅食、吸吮、吞咽反射。当乳头或类似乳头的东西碰到新生儿的面颊或嘴唇时，他就会转头张嘴，做吸奶动作，食物进入口里就会咽下去。</w:t>
            </w:r>
          </w:p>
          <w:p w14:paraId="06217C4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无条件防御反射</w:t>
            </w:r>
          </w:p>
          <w:p w14:paraId="4042F1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眨眼反射就属于无条件防御反射。当强光刺激眼睛时，新生儿会自然地闭上眼睛或将头转向背光处。当刺激物触及眼睑或睫毛时，他会头向后仰并眨眼。打喷嚏、呕吐也是无条件防御反射。</w:t>
            </w:r>
          </w:p>
          <w:p w14:paraId="1596015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无条件定向反射</w:t>
            </w:r>
          </w:p>
          <w:p w14:paraId="349EFB6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当新异刺激（如大的声音和鲜艳的物体）出现时，新生儿会自动把头朝向它，或停止正在进行的活动，好像在探究“这是什么”。这就是无条件定向反射。</w:t>
            </w:r>
          </w:p>
          <w:p w14:paraId="67DFC9F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抓握反射</w:t>
            </w:r>
          </w:p>
          <w:p w14:paraId="3C3AEB5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以手指或小棍接触新生儿的手心，他的手会立即紧握不放，力量之大，甚至可以将身体吊起来。这种反射均在出生后 3 ～ 4 个月消失。</w:t>
            </w:r>
          </w:p>
          <w:p w14:paraId="3D6D42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巴宾斯基反射</w:t>
            </w:r>
          </w:p>
          <w:p w14:paraId="6A33841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触摸新生儿的脚底，脚会向里弯曲，脚趾会成扇形张开。这种反射满 6 个月时消失。以后再这样刺激他，脚趾就会向里屈曲。</w:t>
            </w:r>
          </w:p>
          <w:p w14:paraId="5F9BADE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惊跳反射</w:t>
            </w:r>
          </w:p>
          <w:p w14:paraId="7854D1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惊跳反射又称搂抱反射，这是一种全身动作。当新生儿感到身体突然失去支持（如往小床上放他），或突然受到强声刺激时，会仰头、挺身、双臂伸直、手指张开，然后弯身收臂，紧贴胸前，作搂抱状。这种现象在 3 ～ 5 个月时消失。</w:t>
            </w:r>
          </w:p>
          <w:p w14:paraId="500CA4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强直性颈反射</w:t>
            </w:r>
          </w:p>
          <w:p w14:paraId="5CBEE1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新生儿仰卧时，头常常偏向一侧，同时伸出该侧的手臂和腿，屈起对侧的手臂和腿，作击剑状。经常伸出的那只手可能预示儿童将来的习惯用手。这种反射 4 个月以后消失。</w:t>
            </w:r>
          </w:p>
          <w:p w14:paraId="131A21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8. 行走反射</w:t>
            </w:r>
          </w:p>
          <w:p w14:paraId="5FB589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双手托住新生儿腋下，使其光脚板触地，儿童就会做出迈步动作。这种反射 2 个月左右消失。</w:t>
            </w:r>
          </w:p>
          <w:p w14:paraId="513A24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9. 游泳反射</w:t>
            </w:r>
          </w:p>
          <w:p w14:paraId="4ACD55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把新生儿肚子向下，横着托起，四肢便做出类似游泳的动作，这种反射 6 个月左右消失。</w:t>
            </w:r>
          </w:p>
          <w:p w14:paraId="693B3A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无条件反射保证了新生儿最基本的生命活动，但因其刻板性，不足以让新生儿适应复杂多变的环境，所以新生儿会在无条件反射的基础上建立一些条件反射。条件反射是建立在无条件反射基础上的经过后天学习获得的反射。</w:t>
            </w:r>
          </w:p>
          <w:p w14:paraId="4BAFF3B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（二）婴儿期粗大运动的发展</w:t>
            </w:r>
          </w:p>
          <w:p w14:paraId="7390A6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婴儿的代表性粗大运动主要包括抬头、翻身、坐、爬行、站立、行走等。新生儿除了具有反射活动外，也能完成一些粗大运动。如当婴儿面朝下趴着时，他会摆动手臂和双腿，可能还会试着抬起沉重的头部。满月的婴儿在俯卧时就能将头部举成水平，到 5 个月才能在仰卧时抬头；当抱成坐的位置时，4 ～ 6 个月间会头部直立。</w:t>
            </w:r>
          </w:p>
          <w:p w14:paraId="07D4481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随着婴儿力气的增加，面朝下趴着时，婴儿可以撑起自己的身体向不同方向移动，通常是向后移，而不是向前移动。但到了 6 个月大时，婴儿就可以向特定的方向挪动。这些动作都为婴儿的爬行准备了条件，到了 8 ～ 10 个月大时，婴儿一般会出现爬行动作。</w:t>
            </w:r>
          </w:p>
          <w:p w14:paraId="5A461B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翻身和坐是由躯干部位完成的。婴儿仰卧翻身的常模年龄是 4.2 个月，成熟早期年龄是 3.1 个月，成熟晚期年龄是 6.8 个月。婴儿 5、6 个月学坐，能独坐的常模年龄是 6.5个月。</w:t>
            </w:r>
          </w:p>
          <w:p w14:paraId="7BC316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婴儿学会走路相对较晚。走路之前一般先学会站立。婴儿站立的动作与爬行动作的发展有一段重叠时间。婴儿站立时先是扶物而站，婴儿先爬行到自己想站的地方，然后扶着东西站立起来。1 岁左右的婴儿就能扶着东西走路了。</w:t>
            </w:r>
          </w:p>
          <w:p w14:paraId="0BD3D0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婴儿的动作发展顺序是不变的，都是按照抬头、翻身、坐、爬行、站立、行走的顺序进行的，尽管由于营养、训练等因素，在达到某个动作的时间上会有差异。这些动作的发展不是孤立进行的，而是交叉进行的。如儿童在学站立的时候，同样练习着爬、坐等动作，而爬、坐等动作又促进了儿童的站、走等动作的发展。</w:t>
            </w:r>
          </w:p>
          <w:p w14:paraId="5DCEA39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（三）婴儿期精细运动的发展</w:t>
            </w:r>
          </w:p>
          <w:p w14:paraId="3F2760F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婴儿在完善粗大运动能力时，他也在发展着自己的精细运动。儿童精细运动的发展主要指手部小肌肉群的动作的发展。手是人类认识客观世界、与外界交往的一种重要器官。研究发现，手部精细动作是由人脑的高级神经中枢发送指令来完成的动作。运动越精细，支配它们的相应脑区越大。可见，人脑发育与精细动作的发展是密不可分的。</w:t>
            </w:r>
          </w:p>
          <w:p w14:paraId="09D93D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婴儿期手部精细运动的发展能够促进婴儿脑的发展。手部精细运动的发展是个过程，遵循着一定的规律。</w:t>
            </w:r>
          </w:p>
          <w:p w14:paraId="213518E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婴儿期手部精细运动的发展主要表现为抓握动作的发展。抓握动作是个体最初的和最基本的精细动作，在此基础上又发展起写字、绘画和生活自理动作技巧。</w:t>
            </w:r>
          </w:p>
          <w:p w14:paraId="08528B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尽管新生儿已具有伸手够取某个物体的能力，但这种能力是先天的，不完善，没有目标也没有方向，是满把胡乱的抓握，是本能的抓握反射。约从 3 个月起，婴儿开始了一种不随意的手的抚摸动作，经常无意地抚摸被褥、亲人或玩具。到第 5 个月左右，就开始发展起自主随意的抓握动作。6 个月以后，手的动作有了进一步的发展，主要表现为：学会拇指和其余四指对立的抓握动作，抓握动作过程中的眼手逐渐协调，开始学习分析隐藏在物体当中的复杂属性和关系等。眼手协调动作即看见东西并能抓住它，亦即眼睛控制手的活动，并把手准确地伸向物体所在的方位。眼手协调可以说是婴儿心理发展的重要标志，大概在婴儿 5 ～ 6 个月的时候形成。</w:t>
            </w:r>
          </w:p>
          <w:p w14:paraId="4A8DE1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四、先学前期运动发展</w:t>
            </w:r>
          </w:p>
          <w:p w14:paraId="670135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（一）粗大运动发展</w:t>
            </w:r>
          </w:p>
          <w:p w14:paraId="6D90EA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先学前期儿童最典型的粗大运动的发展就是走、跑、跳动作的发生并日益熟练灵活。这使得儿童的视野越来越广，接触到的刺激越来越丰富，有花草、动物、行人、车辆，还有同龄的小朋友，儿童的各种感觉能力得到发展，也大大扩展了儿童的表象。而这又进一步促使儿童不知疲倦地去探索世界，在探索世界的过程中运动能力也越来越发达。</w:t>
            </w:r>
          </w:p>
          <w:p w14:paraId="14DC04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 1 岁开始，儿童已不满足于只是扶物行走，他要尝试着自己独立行走，最初的时候难免有摔跤发生，但只要成人继续鼓励他，不要让孩子有危险，就会发现儿童自己独立行走的时间越来越长，最终能够挣脱开各种依赖物，实现独立行走。14 个月左右，绝大多数儿童都学会走路了，18 个月的儿童一般能行走自如了。当然儿童刚开始学会走路的时候还走不稳，常常跌跤。原因主要有三：①儿童身体各部位的比例与成人不一样，头部比例较大，所谓“头重脚轻根底浅”；②儿童的骨骼肌肉系统发育不健全，肌肉柔嫩，骨骼还不足以支撑儿童行走时的体重和姿势；③全身动作不能协调一致。</w:t>
            </w:r>
          </w:p>
          <w:p w14:paraId="0EE616F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掌握了“走”这个基本动作之后，儿童又开始对难度较大的行走动作感兴趣了，上下楼梯等难度较大的动作成为他的新乐趣。在不断重复上下楼梯的过程中，儿童反复地用自己的脚来感受未知的空间。最初，他会借助手的力量进行高度的衡量，然后才将腿脚迈出。但随着对这个动作的日渐熟悉，他对脚的作用也有了新的认识，于是渐渐地放弃了手的参与，自由运用自己的脚来感知任何空间，脚的潜能被不断激发出来，脚的动作越来越复杂多样，如横走后退，跨越简单障碍物等。2 岁左右，儿童学会了双脚原地跳和原地站立踢球，学会了跑和攀登，并且很少跌跤。就这样儿童带着极大的热情不断地活动着，发展着各种动作。到 3 岁的时候，儿童学会了单脚跳等比较复杂的动作。</w:t>
            </w:r>
          </w:p>
          <w:p w14:paraId="63C3B8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这些动作的发展，使儿童得到了解放，他可以自由地活动，大大开阔了视野，促进了认知能力的发展。所以我们应该鼓励儿童多运动，尤其是多参加户外活动，这对他们粗大运动能力的发展很有好处，否则总是将孩子禁锢在狭小的房间中，对孩子身心发展不利，甚至可能造成感觉统合失调。</w:t>
            </w:r>
          </w:p>
          <w:p w14:paraId="5D3D86C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（二）精细运动发展</w:t>
            </w:r>
          </w:p>
          <w:p w14:paraId="4A438B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先学前期儿童渐渐能够根据物体的特点和功用，比较灵活、准确、熟练地运用物体，简单的生活自理动作如使用小勺、拉拉链等开始发展起来。儿童对物体功用特点的了解是建立在不断摆弄、拆分和组装所接触的物体的基础之上的，这也使得儿童手指和手掌肌肉更加成熟，精细动作更加灵活。</w:t>
            </w:r>
          </w:p>
          <w:p w14:paraId="5B629FA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李惠渝（2008）通过观察发现，18 ～ 36 个月的儿童在探索事物时出现的动作大致可分为两种：一种是反复摆弄以了解物体特性，常见于 18 ～ 24 个月的儿童，且年龄越小越明显，几根火柴足够他们摆弄半小时。他们喜欢简单、重复的动作，如反复敲打、触摸等。另一种则是利用小物体来练习简单的技能，如打开瓶子或盒子，把小物体放进去摇晃听声后再倒出来等，常见于 24 ～ 36 个月的儿童，在精细动作发展良好的儿童身上可能会出现得更早。这个阶段的儿童对生活中的真实物和自然物很感兴趣，反复摆弄和探索的时间超过玩现成玩具，且经常会有新的玩法。</w:t>
            </w:r>
          </w:p>
          <w:p w14:paraId="25A353E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18 ～ 36 个月的儿童最喜欢做的手部精细动作有：开、关、塞、放、嵌、按、抠、拉、插、拔、摸、套、拧、夹。其中许多动作会在这一年半的年龄跨度中反复出现，只是精准程度因年龄不同而有差异。但是也有一些动作带有较鲜明的年龄特点，比如“拧”和“夹”的动作对手腕、手指的协调性以及手指力量有一定的要求，18 ～ 24个月的孩子较难完成，但 25 ～ 36 个月的孩子却比较容易完成，动作出现的频率明显高于 2 岁前的孩子。</w:t>
            </w:r>
          </w:p>
          <w:p w14:paraId="72A5E2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五、学前期运动发展</w:t>
            </w:r>
          </w:p>
          <w:p w14:paraId="3C2028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学前儿童的运动技能已经有了长足的发展，他们的粗大运动技能和精细运动技能已经越来越趋向熟练精巧。如当一个 14 个月大的儿童还在学着怎样将沙子抓入桶中，而一个 5 岁的儿童已经能轻松自如地应用这种技能来建筑他的“碉堡”。</w:t>
            </w:r>
          </w:p>
          <w:p w14:paraId="0230F6D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（一）粗大运动技能的发展</w:t>
            </w:r>
          </w:p>
          <w:p w14:paraId="3D8CB63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到 3 岁的时候，儿童已经掌握了多种技能，如蹦跳、单脚跳、跳跃和跑步。4 ～ 5 岁时，儿童对肌肉的控制越来越好，使得技能更加精细化。如4岁儿童能够准确地将球扔给同伴，5 岁儿童可以将一个套环扔到一米半外的柱子上。5 岁儿童还可以学会骑自行车、爬梯子、向下滑雪，这些活动都需要相当强的协调能力。</w:t>
            </w:r>
          </w:p>
          <w:p w14:paraId="0CD33FF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学前儿童粗大运动的发展中已经出现了性别差异。男孩一般都比女孩跳得更高，把球扔得更远，男孩总体运动水平倾向也高于女孩。但女孩一般在肢体协调方面超过男孩，女孩比男孩在跳跃运动和单脚平衡方面做得更好。</w:t>
            </w:r>
          </w:p>
          <w:p w14:paraId="1A95CA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（二）精细运动技能的发展</w:t>
            </w:r>
          </w:p>
          <w:p w14:paraId="0804BA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儿童精细运动技能和粗大运动技能一样，也在不断地进步。形成技能的根本方式是练习，所以精细运动技能需要大量的练习。学前儿童精细运动技能的出现显示出明显的发展模式。在 3 岁时，儿童能用蜡笔画出圆圈和方块，去卫生间能够自己脱衣服，能将简单的拼图拼到一起，还能够将不同形状的木块放到相应的孔中。不过，儿童在完成这些任务时动作并不精确和完美，他很可能将一块拼图硬塞到一个地方。4 岁儿童能画出相似的人像，能把纸折成三角形的图案。5 岁儿童能够握住并熟练使用细铅笔。儿童精细运动技能可以通过科学训练得到培养和提高。</w:t>
            </w:r>
          </w:p>
          <w:p w14:paraId="250560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总之，6、7 岁前的儿童无论身体外形还是内部结构以及外显动作方面都在不断发展，我们应该根据他们的身心发展情况对其实施教育训练。由于动作发展的重要心理意义，很多人试图通过提早训练，来促进儿童动作的发展。但我们要把握提早的时间度，要掌握儿童动作成熟时机，抓准时机进行训练，不要拔苗助长，也不要放任自流。</w:t>
            </w:r>
          </w:p>
          <w:p w14:paraId="42DC442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l2br w:val="nil"/>
              <w:tr2bl w:val="nil"/>
            </w:tcBorders>
            <w:vAlign w:val="center"/>
          </w:tcPr>
          <w:p w14:paraId="0495C623">
            <w:pPr>
              <w:keepNext w:val="0"/>
              <w:keepLines w:val="0"/>
              <w:suppressLineNumbers w:val="0"/>
              <w:spacing w:before="0" w:beforeAutospacing="0" w:after="0" w:afterAutospacing="0" w:line="360"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学前儿童运动能力的发展（</w:t>
            </w:r>
            <w:r>
              <w:rPr>
                <w:rFonts w:hint="eastAsia" w:ascii="Times New Roman" w:hAnsi="Times New Roman"/>
                <w:b/>
                <w:szCs w:val="24"/>
                <w:lang w:val="en-US" w:eastAsia="zh-CN"/>
              </w:rPr>
              <w:t>二</w:t>
            </w:r>
            <w:r>
              <w:rPr>
                <w:rFonts w:hint="eastAsia" w:ascii="Times New Roman" w:hAnsi="Times New Roman"/>
                <w:b/>
                <w:szCs w:val="24"/>
                <w:lang w:eastAsia="zh-CN"/>
              </w:rPr>
              <w:t>）展示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w:t>
            </w:r>
            <w:r>
              <w:rPr>
                <w:rFonts w:hint="eastAsia" w:ascii="Times New Roman" w:hAnsi="Times New Roman"/>
                <w:b/>
                <w:szCs w:val="24"/>
                <w:lang w:eastAsia="zh-CN"/>
              </w:rPr>
              <w:t>简笔画的工具材料及使用方法</w:t>
            </w:r>
            <w:r>
              <w:rPr>
                <w:rFonts w:hint="eastAsia" w:ascii="Times New Roman" w:hAnsi="Times New Roman"/>
                <w:b/>
                <w:szCs w:val="24"/>
              </w:rPr>
              <w:t>（一）的基本理论知识。</w:t>
            </w:r>
          </w:p>
        </w:tc>
      </w:tr>
      <w:tr w14:paraId="17D662FD">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185AD8F0">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02FF5229">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7B5078F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524BEB69">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cs="宋体"/>
                <w:b/>
                <w:bCs w:val="0"/>
                <w:kern w:val="0"/>
                <w:sz w:val="21"/>
                <w:szCs w:val="21"/>
                <w:lang w:val="en-US" w:eastAsia="zh-CN" w:bidi="ar"/>
              </w:rPr>
              <w:t>学前儿童运动能力的发展</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二</w:t>
            </w:r>
            <w:r>
              <w:rPr>
                <w:rFonts w:hint="eastAsia" w:ascii="宋体" w:hAnsi="宋体" w:eastAsia="宋体" w:cs="宋体"/>
                <w:b/>
                <w:bCs w:val="0"/>
                <w:kern w:val="0"/>
                <w:sz w:val="21"/>
                <w:szCs w:val="21"/>
                <w:lang w:val="en-US" w:eastAsia="zh-CN" w:bidi="ar"/>
              </w:rPr>
              <w:t>）</w:t>
            </w:r>
            <w:r>
              <w:rPr>
                <w:rFonts w:hint="eastAsia" w:ascii="宋体" w:hAnsi="宋体" w:cs="宋体"/>
                <w:b/>
                <w:bCs w:val="0"/>
                <w:kern w:val="0"/>
                <w:sz w:val="21"/>
                <w:szCs w:val="21"/>
                <w:lang w:val="en-US" w:eastAsia="zh-CN" w:bidi="ar"/>
              </w:rPr>
              <w:t>，掌握儿童动作成熟时机，抓准时机进行训练，不要拔苗助长，也不要放任自流。</w:t>
            </w:r>
          </w:p>
        </w:tc>
        <w:tc>
          <w:tcPr>
            <w:tcW w:w="1366" w:type="dxa"/>
            <w:tcBorders>
              <w:tl2br w:val="nil"/>
              <w:tr2bl w:val="nil"/>
            </w:tcBorders>
            <w:vAlign w:val="center"/>
          </w:tcPr>
          <w:p w14:paraId="14D8B7C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14:paraId="496D2EDB">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770D76AF">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l2br w:val="nil"/>
              <w:tr2bl w:val="nil"/>
            </w:tcBorders>
            <w:vAlign w:val="center"/>
          </w:tcPr>
          <w:p w14:paraId="0A4B8BB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40882B1D">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简述先学前期运动发展</w:t>
            </w:r>
            <w:r>
              <w:rPr>
                <w:rFonts w:hint="eastAsia" w:ascii="宋体" w:hAnsi="宋体" w:eastAsia="宋体" w:cs="宋体"/>
                <w:b/>
                <w:bCs w:val="0"/>
                <w:kern w:val="2"/>
                <w:sz w:val="21"/>
                <w:szCs w:val="21"/>
                <w:lang w:val="en-US" w:eastAsia="zh-CN" w:bidi="ar"/>
              </w:rPr>
              <w:t>。</w:t>
            </w:r>
          </w:p>
        </w:tc>
        <w:tc>
          <w:tcPr>
            <w:tcW w:w="1366" w:type="dxa"/>
            <w:tcBorders>
              <w:tl2br w:val="nil"/>
              <w:tr2bl w:val="nil"/>
            </w:tcBorders>
            <w:vAlign w:val="center"/>
          </w:tcPr>
          <w:p w14:paraId="597A13B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14:paraId="3C4F24CA">
        <w:tblPrEx>
          <w:tblBorders>
            <w:top w:val="double" w:color="BE8F00" w:themeColor="accent4" w:themeShade="BF" w:sz="4" w:space="0"/>
            <w:left w:val="double" w:color="BE8F00" w:themeColor="accent4" w:themeShade="BF" w:sz="4" w:space="0"/>
            <w:bottom w:val="double" w:color="BE8F00" w:themeColor="accent4" w:themeShade="BF" w:sz="4" w:space="0"/>
            <w:right w:val="double" w:color="BE8F00" w:themeColor="accent4" w:themeShade="BF" w:sz="4" w:space="0"/>
            <w:insideH w:val="single" w:color="BE8F00" w:themeColor="accent4" w:themeShade="BF" w:sz="4" w:space="0"/>
            <w:insideV w:val="single" w:color="BE8F00" w:themeColor="accent4" w:themeShade="BF" w:sz="4" w:space="0"/>
          </w:tblBorders>
          <w:tblCellMar>
            <w:top w:w="0" w:type="dxa"/>
            <w:left w:w="108" w:type="dxa"/>
            <w:bottom w:w="0" w:type="dxa"/>
            <w:right w:w="108" w:type="dxa"/>
          </w:tblCellMar>
        </w:tblPrEx>
        <w:trPr>
          <w:trHeight w:val="567" w:hRule="atLeast"/>
          <w:jc w:val="center"/>
        </w:trPr>
        <w:tc>
          <w:tcPr>
            <w:tcW w:w="1276" w:type="dxa"/>
            <w:tcBorders>
              <w:tl2br w:val="nil"/>
              <w:tr2bl w:val="nil"/>
            </w:tcBorders>
            <w:shd w:val="clear" w:color="auto" w:fill="FEF2CC" w:themeFill="accent4" w:themeFillTint="32"/>
            <w:vAlign w:val="center"/>
          </w:tcPr>
          <w:p w14:paraId="41B4F218">
            <w:pPr>
              <w:keepNext w:val="0"/>
              <w:keepLines w:val="0"/>
              <w:suppressLineNumbers w:val="0"/>
              <w:spacing w:before="0" w:beforeAutospacing="0" w:after="0" w:afterAutospacing="0" w:line="360" w:lineRule="auto"/>
              <w:ind w:left="0" w:right="0"/>
              <w:jc w:val="center"/>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l2br w:val="nil"/>
              <w:tr2bl w:val="nil"/>
            </w:tcBorders>
            <w:vAlign w:val="center"/>
          </w:tcPr>
          <w:p w14:paraId="43182154">
            <w:pPr>
              <w:keepNext w:val="0"/>
              <w:keepLines w:val="0"/>
              <w:suppressLineNumbers w:val="0"/>
              <w:spacing w:before="0" w:beforeAutospacing="0" w:after="0" w:afterAutospacing="0" w:line="360" w:lineRule="auto"/>
              <w:ind w:left="0" w:right="0"/>
              <w:rPr>
                <w:rFonts w:hint="default" w:ascii="Times New Roman" w:hAnsi="Times New Roman"/>
              </w:rPr>
            </w:pPr>
            <w:r>
              <w:rPr>
                <w:rFonts w:hint="default" w:ascii="Times New Roman" w:hAnsi="Times New Roman"/>
              </w:rPr>
              <w:t>把书本内容与现实生活结合起来，把典型的事例恰当地运用于教学中，告诉学生，多观察社会，多留意生活，“处处留心皆学问”，要求他们平时多观察、多积累。</w:t>
            </w:r>
          </w:p>
        </w:tc>
      </w:tr>
      <w:bookmarkEnd w:id="0"/>
    </w:tbl>
    <w:p w14:paraId="0922ED1C"/>
    <w:sectPr>
      <w:pgSz w:w="11906" w:h="16838"/>
      <w:pgMar w:top="283" w:right="170" w:bottom="283" w:left="170" w:header="0"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PinYinok">
    <w:panose1 w:val="020B0603050302020204"/>
    <w:charset w:val="00"/>
    <w:family w:val="swiss"/>
    <w:pitch w:val="default"/>
    <w:sig w:usb0="00000000" w:usb1="00000000" w:usb2="00000000" w:usb3="00000000" w:csb0="00000000" w:csb1="00000000"/>
  </w:font>
  <w:font w:name="华文行楷">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7C402">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33E3F">
    <w:pPr>
      <w:pStyle w:val="7"/>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36123">
    <w:pPr>
      <w:pStyle w:val="8"/>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7CEDF">
    <w:pPr>
      <w:pStyle w:val="8"/>
      <w:pBdr>
        <w:bottom w:val="none" w:color="auto" w:sz="0" w:space="1"/>
      </w:pBdr>
      <w:rPr>
        <w:rFonts w:hint="eastAsia" w:eastAsia="宋体"/>
        <w:lang w:eastAsia="zh-CN"/>
      </w:rPr>
    </w:pPr>
    <w:r>
      <w:rPr>
        <w:rFonts w:hint="eastAsia" w:eastAsia="宋体"/>
        <w:lang w:eastAsia="zh-CN"/>
      </w:rPr>
      <w:drawing>
        <wp:anchor distT="0" distB="0" distL="114300" distR="114300" simplePos="0" relativeHeight="251661312" behindDoc="1" locked="0" layoutInCell="1" allowOverlap="1">
          <wp:simplePos x="0" y="0"/>
          <wp:positionH relativeFrom="column">
            <wp:posOffset>-111760</wp:posOffset>
          </wp:positionH>
          <wp:positionV relativeFrom="paragraph">
            <wp:posOffset>11430</wp:posOffset>
          </wp:positionV>
          <wp:extent cx="7559040" cy="10692130"/>
          <wp:effectExtent l="0" t="0" r="3810" b="13970"/>
          <wp:wrapNone/>
          <wp:docPr id="9" name="图片 9" descr="C:/Users/xiaoyu/Desktop/工作文件/教案模板素材/素材/学前背景2.jpg学前背景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xiaoyu/Desktop/工作文件/教案模板素材/素材/学前背景2.jpg学前背景2"/>
                  <pic:cNvPicPr>
                    <a:picLocks noChangeAspect="1"/>
                  </pic:cNvPicPr>
                </pic:nvPicPr>
                <pic:blipFill>
                  <a:blip r:embed="rId1"/>
                  <a:srcRect/>
                  <a:stretch>
                    <a:fillRect/>
                  </a:stretch>
                </pic:blipFill>
                <pic:spPr>
                  <a:xfrm>
                    <a:off x="0" y="0"/>
                    <a:ext cx="7559040" cy="10692130"/>
                  </a:xfrm>
                  <a:prstGeom prst="rect">
                    <a:avLst/>
                  </a:prstGeom>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54283">
    <w:pPr>
      <w:pStyle w:val="8"/>
      <w:pBdr>
        <w:bottom w:val="none" w:color="auto" w:sz="0" w:space="1"/>
      </w:pBdr>
    </w:pPr>
    <w:r>
      <w:rPr>
        <w:sz w:val="18"/>
      </w:rPr>
      <mc:AlternateContent>
        <mc:Choice Requires="wpg">
          <w:drawing>
            <wp:anchor distT="0" distB="0" distL="114300" distR="114300" simplePos="0" relativeHeight="251660288" behindDoc="1" locked="0" layoutInCell="1" allowOverlap="1">
              <wp:simplePos x="0" y="0"/>
              <wp:positionH relativeFrom="column">
                <wp:posOffset>-107950</wp:posOffset>
              </wp:positionH>
              <wp:positionV relativeFrom="paragraph">
                <wp:posOffset>0</wp:posOffset>
              </wp:positionV>
              <wp:extent cx="7560310" cy="10692130"/>
              <wp:effectExtent l="0" t="0" r="2540" b="13970"/>
              <wp:wrapNone/>
              <wp:docPr id="13" name="组合 13"/>
              <wp:cNvGraphicFramePr/>
              <a:graphic xmlns:a="http://schemas.openxmlformats.org/drawingml/2006/main">
                <a:graphicData uri="http://schemas.microsoft.com/office/word/2010/wordprocessingGroup">
                  <wpg:wgp>
                    <wpg:cNvGrpSpPr/>
                    <wpg:grpSpPr>
                      <a:xfrm>
                        <a:off x="0" y="0"/>
                        <a:ext cx="7560310" cy="10692130"/>
                        <a:chOff x="10793" y="17404"/>
                        <a:chExt cx="11906" cy="16838"/>
                      </a:xfrm>
                    </wpg:grpSpPr>
                    <wps:wsp>
                      <wps:cNvPr id="8" name="矩形 8"/>
                      <wps:cNvSpPr/>
                      <wps:spPr>
                        <a:xfrm>
                          <a:off x="10793" y="17404"/>
                          <a:ext cx="11906" cy="16838"/>
                        </a:xfrm>
                        <a:prstGeom prst="rect">
                          <a:avLst/>
                        </a:prstGeom>
                        <a:solidFill>
                          <a:srgbClr val="EEDF7F">
                            <a:alpha val="60000"/>
                          </a:srgbClr>
                        </a:solidFill>
                        <a:ln>
                          <a:no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11" name="矩形 11"/>
                      <wps:cNvSpPr/>
                      <wps:spPr>
                        <a:xfrm>
                          <a:off x="11049" y="17688"/>
                          <a:ext cx="11395" cy="16271"/>
                        </a:xfrm>
                        <a:prstGeom prst="rect">
                          <a:avLst/>
                        </a:prstGeom>
                        <a:solidFill>
                          <a:schemeClr val="bg1"/>
                        </a:solidFill>
                        <a:ln w="15875" cmpd="sng">
                          <a:gradFill>
                            <a:gsLst>
                              <a:gs pos="0">
                                <a:schemeClr val="accent1">
                                  <a:lumMod val="5000"/>
                                  <a:lumOff val="95000"/>
                                </a:schemeClr>
                              </a:gs>
                              <a:gs pos="74000">
                                <a:schemeClr val="accent1">
                                  <a:lumMod val="45000"/>
                                  <a:lumOff val="55000"/>
                                </a:schemeClr>
                              </a:gs>
                              <a:gs pos="83000">
                                <a:schemeClr val="accent1">
                                  <a:lumMod val="45000"/>
                                  <a:lumOff val="55000"/>
                                </a:schemeClr>
                              </a:gs>
                              <a:gs pos="100000">
                                <a:schemeClr val="accent1">
                                  <a:lumMod val="30000"/>
                                  <a:lumOff val="70000"/>
                                </a:schemeClr>
                              </a:gs>
                            </a:gsLst>
                            <a:path path="circle">
                              <a:fillToRect l="50000" t="50000" r="50000" b="50000"/>
                            </a:path>
                            <a:tileRect/>
                          </a:gradFill>
                          <a:prstDash val="sysDash"/>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8.5pt;margin-top:0pt;height:841.9pt;width:595.3pt;z-index:-251656192;mso-width-relative:page;mso-height-relative:page;" coordorigin="10793,17404" coordsize="11906,16838" o:gfxdata="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">
              <o:lock v:ext="edit" aspectratio="f"/>
              <v:rect id="_x0000_s1026" o:spid="_x0000_s1026" o:spt="1" style="position:absolute;left:10793;top:17404;height:16838;width:11906;v-text-anchor:middle;" fillcolor="#EEDF7F" filled="t" stroked="f" coordsize="21600,21600" o:gfxdata="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1IWV7gAAADaAAAA&#10;DwAAAAAAAAABACAAAAAiAAAAZHJzL2Rvd25yZXYueG1sUEsBAhQAFAAAAAgAh07iQDMvBZ47AAAA&#10;OQAAABAAAAAAAAAAAQAgAAAABwEAAGRycy9zaGFwZXhtbC54bWxQSwUGAAAAAAYABgBbAQAAsQMA&#10;AAAA&#10;">
                <v:fill on="t" opacity="39321f" focussize="0,0"/>
                <v:stroke on="f" weight="1pt" miterlimit="8" joinstyle="miter"/>
                <v:imagedata o:title=""/>
                <o:lock v:ext="edit" aspectratio="f"/>
              </v:rect>
              <v:rect id="_x0000_s1026" o:spid="_x0000_s1026" o:spt="1" style="position:absolute;left:11049;top:17688;height:16271;width:11395;v-text-anchor:middle;" fillcolor="#FFFFFF [3212]" filled="t" stroked="t" coordsize="21600,21600" o:gfxdata="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BTWHC5AAAA2wAA&#10;AA8AAAAAAAAAAQAgAAAAIgAAAGRycy9kb3ducmV2LnhtbFBLAQIUABQAAAAIAIdO4kAzLwWeOwAA&#10;ADkAAAAQAAAAAAAAAAEAIAAAAAgBAABkcnMvc2hhcGV4bWwueG1sUEsFBgAAAAAGAAYAWwEAALID&#10;AAAAAA==&#10;">
                <v:fill on="t" focussize="0,0"/>
                <v:stroke weight="1.25pt" color="#000000" miterlimit="8" joinstyle="miter" dashstyle="3 1"/>
                <v:imagedata o:title=""/>
                <o:lock v:ext="edit" aspectratio="f"/>
              </v:rect>
            </v:group>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D11A5">
    <w:pPr>
      <w:pStyle w:val="8"/>
      <w:pBdr>
        <w:bottom w:val="none" w:color="auto" w:sz="0" w:space="1"/>
      </w:pBdr>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QwMGUyNTQxOTQ3OTdiZjM1YmRlMzhhNWY0ODRlNWM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27B08F2"/>
    <w:rsid w:val="02BF16DF"/>
    <w:rsid w:val="03F91E91"/>
    <w:rsid w:val="043851F9"/>
    <w:rsid w:val="078132CC"/>
    <w:rsid w:val="09AA6B0A"/>
    <w:rsid w:val="0AAA37BC"/>
    <w:rsid w:val="0AC91BFE"/>
    <w:rsid w:val="0AE230E9"/>
    <w:rsid w:val="0D2F326C"/>
    <w:rsid w:val="0E041A0C"/>
    <w:rsid w:val="0EFB3964"/>
    <w:rsid w:val="108160EB"/>
    <w:rsid w:val="10E62DCA"/>
    <w:rsid w:val="138E17D4"/>
    <w:rsid w:val="16527C12"/>
    <w:rsid w:val="18934C0E"/>
    <w:rsid w:val="1A0F6516"/>
    <w:rsid w:val="1A861C2D"/>
    <w:rsid w:val="1AF66FE0"/>
    <w:rsid w:val="1B273E7A"/>
    <w:rsid w:val="1C687F8F"/>
    <w:rsid w:val="1D245D5D"/>
    <w:rsid w:val="1E8F2A30"/>
    <w:rsid w:val="1FB84519"/>
    <w:rsid w:val="218A5BED"/>
    <w:rsid w:val="22A46395"/>
    <w:rsid w:val="23151418"/>
    <w:rsid w:val="24B477DD"/>
    <w:rsid w:val="28B578A7"/>
    <w:rsid w:val="31813D45"/>
    <w:rsid w:val="318E2C8A"/>
    <w:rsid w:val="322A12C5"/>
    <w:rsid w:val="333E3614"/>
    <w:rsid w:val="34AD60CD"/>
    <w:rsid w:val="35AF77A0"/>
    <w:rsid w:val="368D542E"/>
    <w:rsid w:val="388B134B"/>
    <w:rsid w:val="3D5855B3"/>
    <w:rsid w:val="3EB371A6"/>
    <w:rsid w:val="3FB457A2"/>
    <w:rsid w:val="40EC510F"/>
    <w:rsid w:val="436C72A2"/>
    <w:rsid w:val="43CD7F64"/>
    <w:rsid w:val="44B33A23"/>
    <w:rsid w:val="45C91BBA"/>
    <w:rsid w:val="46E44703"/>
    <w:rsid w:val="4BD755A8"/>
    <w:rsid w:val="4BF7788F"/>
    <w:rsid w:val="4C7F0E23"/>
    <w:rsid w:val="52EA4E4F"/>
    <w:rsid w:val="5A7C6694"/>
    <w:rsid w:val="5C2D08FD"/>
    <w:rsid w:val="5D204456"/>
    <w:rsid w:val="5D5E4DB7"/>
    <w:rsid w:val="5E0A2849"/>
    <w:rsid w:val="69CD0D21"/>
    <w:rsid w:val="6CD31019"/>
    <w:rsid w:val="6E8C1058"/>
    <w:rsid w:val="6F846384"/>
    <w:rsid w:val="72111FA0"/>
    <w:rsid w:val="724D0D96"/>
    <w:rsid w:val="7C0B4C04"/>
    <w:rsid w:val="7CF17FFD"/>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2.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9955</Words>
  <Characters>10060</Characters>
  <Lines>1</Lines>
  <Paragraphs>1</Paragraphs>
  <TotalTime>0</TotalTime>
  <ScaleCrop>false</ScaleCrop>
  <LinksUpToDate>false</LinksUpToDate>
  <CharactersWithSpaces>10073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六月</cp:lastModifiedBy>
  <dcterms:modified xsi:type="dcterms:W3CDTF">2025-07-17T06:30:54Z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DA9DF2B4E3EC49E2903C4391C3E901BD_13</vt:lpwstr>
  </property>
  <property fmtid="{D5CDD505-2E9C-101B-9397-08002B2CF9AE}" pid="4" name="KSOTemplateDocerSaveRecord">
    <vt:lpwstr>eyJoZGlkIjoiOTcxZjc4Y2ViNTBlZDVmZTI3YTAxZGE1NWVmM2E2NDEiLCJ1c2VySWQiOiI0MDMzMDA2MzYifQ==</vt:lpwstr>
  </property>
</Properties>
</file>